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A2044">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6D75D809">
      <w:pPr>
        <w:jc w:val="center"/>
        <w:rPr>
          <w:rFonts w:hint="eastAsia" w:ascii="小标宋" w:hAnsi="小标宋" w:eastAsia="小标宋" w:cs="小标宋"/>
          <w:sz w:val="40"/>
          <w:szCs w:val="48"/>
        </w:rPr>
      </w:pPr>
      <w:r>
        <w:rPr>
          <w:rFonts w:hint="eastAsia" w:ascii="小标宋" w:hAnsi="小标宋" w:eastAsia="小标宋" w:cs="小标宋"/>
          <w:sz w:val="40"/>
          <w:szCs w:val="48"/>
        </w:rPr>
        <w:t>2024产学研融通创新活动产业问题清单</w:t>
      </w:r>
    </w:p>
    <w:p w14:paraId="775560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bCs/>
          <w:i w:val="0"/>
          <w:iCs w:val="0"/>
          <w:color w:val="auto"/>
          <w:kern w:val="2"/>
          <w:sz w:val="28"/>
          <w:szCs w:val="28"/>
          <w:u w:val="none"/>
          <w:lang w:val="en-US" w:eastAsia="zh-CN" w:bidi="ar-SA"/>
        </w:rPr>
      </w:pPr>
      <w:r>
        <w:rPr>
          <w:rFonts w:hint="eastAsia" w:ascii="仿宋" w:hAnsi="仿宋" w:eastAsia="仿宋" w:cs="仿宋"/>
          <w:b/>
          <w:bCs/>
          <w:i w:val="0"/>
          <w:iCs w:val="0"/>
          <w:color w:val="auto"/>
          <w:kern w:val="2"/>
          <w:sz w:val="28"/>
          <w:szCs w:val="28"/>
          <w:u w:val="none"/>
          <w:lang w:val="en-US" w:eastAsia="zh-CN" w:bidi="ar-SA"/>
        </w:rPr>
        <w:t>一、AI大模型</w:t>
      </w:r>
    </w:p>
    <w:tbl>
      <w:tblPr>
        <w:tblStyle w:val="5"/>
        <w:tblW w:w="14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1203"/>
        <w:gridCol w:w="2937"/>
        <w:gridCol w:w="9345"/>
      </w:tblGrid>
      <w:tr w14:paraId="0749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tcBorders>
              <w:top w:val="single" w:color="000000" w:sz="4" w:space="0"/>
              <w:left w:val="single" w:color="000000" w:sz="4" w:space="0"/>
              <w:bottom w:val="single" w:color="auto" w:sz="4" w:space="0"/>
              <w:right w:val="single" w:color="000000" w:sz="4" w:space="0"/>
            </w:tcBorders>
            <w:noWrap/>
            <w:vAlign w:val="center"/>
          </w:tcPr>
          <w:p w14:paraId="12E9B3F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领域</w:t>
            </w:r>
          </w:p>
        </w:tc>
        <w:tc>
          <w:tcPr>
            <w:tcW w:w="1203" w:type="dxa"/>
            <w:tcBorders>
              <w:top w:val="single" w:color="000000" w:sz="4" w:space="0"/>
              <w:left w:val="single" w:color="000000" w:sz="4" w:space="0"/>
              <w:bottom w:val="single" w:color="auto" w:sz="4" w:space="0"/>
              <w:right w:val="single" w:color="000000" w:sz="4" w:space="0"/>
            </w:tcBorders>
            <w:noWrap/>
            <w:vAlign w:val="center"/>
          </w:tcPr>
          <w:p w14:paraId="4C47BF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编号</w:t>
            </w:r>
          </w:p>
        </w:tc>
        <w:tc>
          <w:tcPr>
            <w:tcW w:w="2937" w:type="dxa"/>
            <w:tcBorders>
              <w:top w:val="single" w:color="000000" w:sz="4" w:space="0"/>
              <w:left w:val="single" w:color="000000" w:sz="4" w:space="0"/>
              <w:bottom w:val="single" w:color="auto" w:sz="4" w:space="0"/>
              <w:right w:val="single" w:color="000000" w:sz="4" w:space="0"/>
            </w:tcBorders>
            <w:noWrap/>
            <w:vAlign w:val="center"/>
          </w:tcPr>
          <w:p w14:paraId="7570B3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产业问题</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5D74BB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问题（需求）具体描述</w:t>
            </w:r>
          </w:p>
        </w:tc>
      </w:tr>
      <w:tr w14:paraId="3B0B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restart"/>
            <w:tcBorders>
              <w:top w:val="single" w:color="auto" w:sz="4" w:space="0"/>
              <w:left w:val="single" w:color="auto" w:sz="4" w:space="0"/>
              <w:right w:val="single" w:color="000000" w:sz="4" w:space="0"/>
            </w:tcBorders>
            <w:noWrap/>
            <w:vAlign w:val="center"/>
          </w:tcPr>
          <w:p w14:paraId="79407A3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AI</w:t>
            </w:r>
          </w:p>
          <w:p w14:paraId="4505D9C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大模型</w:t>
            </w:r>
          </w:p>
        </w:tc>
        <w:tc>
          <w:tcPr>
            <w:tcW w:w="1203" w:type="dxa"/>
            <w:tcBorders>
              <w:top w:val="single" w:color="auto" w:sz="4" w:space="0"/>
              <w:left w:val="single" w:color="000000" w:sz="4" w:space="0"/>
              <w:bottom w:val="single" w:color="000000" w:sz="4" w:space="0"/>
              <w:right w:val="single" w:color="000000" w:sz="4" w:space="0"/>
            </w:tcBorders>
            <w:noWrap/>
            <w:vAlign w:val="center"/>
          </w:tcPr>
          <w:p w14:paraId="493FBB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LM-01</w:t>
            </w:r>
          </w:p>
        </w:tc>
        <w:tc>
          <w:tcPr>
            <w:tcW w:w="2937" w:type="dxa"/>
            <w:tcBorders>
              <w:top w:val="single" w:color="auto" w:sz="4" w:space="0"/>
              <w:left w:val="single" w:color="000000" w:sz="4" w:space="0"/>
              <w:bottom w:val="single" w:color="000000" w:sz="4" w:space="0"/>
              <w:right w:val="single" w:color="auto" w:sz="4" w:space="0"/>
            </w:tcBorders>
            <w:noWrap/>
            <w:vAlign w:val="center"/>
          </w:tcPr>
          <w:p w14:paraId="5D53E8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高质量数据获取、去重与标准化处理</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4B49CA57">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color w:val="auto"/>
                <w:sz w:val="28"/>
                <w:szCs w:val="28"/>
                <w:lang w:val="en-US" w:eastAsia="zh-CN"/>
              </w:rPr>
              <w:t>在大模型落地应用中，数据提取困难是通病。因此，如何提取高质量的数据？如何去重？尤其是产品化、批量处理是至关重要的。尤其是医疗行业，因政策及医院行政级别的相关因素，导致高质量的医疗数据及数据标准化、共享程度，与国外都存在一定的差距。</w:t>
            </w:r>
          </w:p>
        </w:tc>
      </w:tr>
      <w:tr w14:paraId="7620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continue"/>
            <w:tcBorders>
              <w:left w:val="single" w:color="auto" w:sz="4" w:space="0"/>
              <w:right w:val="single" w:color="000000" w:sz="4" w:space="0"/>
            </w:tcBorders>
            <w:noWrap/>
            <w:vAlign w:val="center"/>
          </w:tcPr>
          <w:p w14:paraId="63970D8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000000" w:sz="4" w:space="0"/>
              <w:bottom w:val="single" w:color="000000" w:sz="4" w:space="0"/>
              <w:right w:val="single" w:color="000000" w:sz="4" w:space="0"/>
            </w:tcBorders>
            <w:noWrap/>
            <w:vAlign w:val="center"/>
          </w:tcPr>
          <w:p w14:paraId="21C75D4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LM-02</w:t>
            </w:r>
          </w:p>
        </w:tc>
        <w:tc>
          <w:tcPr>
            <w:tcW w:w="2937" w:type="dxa"/>
            <w:tcBorders>
              <w:top w:val="single" w:color="auto" w:sz="4" w:space="0"/>
              <w:left w:val="single" w:color="000000" w:sz="4" w:space="0"/>
              <w:bottom w:val="single" w:color="000000" w:sz="4" w:space="0"/>
              <w:right w:val="single" w:color="auto" w:sz="4" w:space="0"/>
            </w:tcBorders>
            <w:noWrap/>
            <w:vAlign w:val="center"/>
          </w:tcPr>
          <w:p w14:paraId="633A8E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医疗健康大模型精准诊断与隐私保护</w:t>
            </w:r>
          </w:p>
          <w:p w14:paraId="15C432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p>
        </w:tc>
        <w:tc>
          <w:tcPr>
            <w:tcW w:w="9345" w:type="dxa"/>
            <w:tcBorders>
              <w:top w:val="single" w:color="000000" w:sz="4" w:space="0"/>
              <w:left w:val="single" w:color="auto" w:sz="4" w:space="0"/>
              <w:bottom w:val="single" w:color="000000" w:sz="4" w:space="0"/>
              <w:right w:val="single" w:color="000000" w:sz="4" w:space="0"/>
            </w:tcBorders>
            <w:noWrap/>
            <w:vAlign w:val="center"/>
          </w:tcPr>
          <w:p w14:paraId="4E570ED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大模型构建医药知识图谱对应用落地至关重要。知识图谱构建需要专用、高质量数据。目前面临3大问题：受医疗场景限制没有机制去获取数据；非电子数据转为高质量可训练的数据工程量大；数据安全问题，医院训练自有数据没专业人才，交给外部企业有安全风险。</w:t>
            </w:r>
          </w:p>
        </w:tc>
      </w:tr>
      <w:tr w14:paraId="1AD0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022CA19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7F0CDB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LM-03</w:t>
            </w:r>
          </w:p>
        </w:tc>
        <w:tc>
          <w:tcPr>
            <w:tcW w:w="2937" w:type="dxa"/>
            <w:tcBorders>
              <w:top w:val="single" w:color="000000" w:sz="4" w:space="0"/>
              <w:left w:val="single" w:color="000000" w:sz="4" w:space="0"/>
              <w:bottom w:val="single" w:color="000000" w:sz="4" w:space="0"/>
              <w:right w:val="single" w:color="auto" w:sz="4" w:space="0"/>
            </w:tcBorders>
            <w:noWrap/>
            <w:vAlign w:val="center"/>
          </w:tcPr>
          <w:p w14:paraId="1791E1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国产智能算力适配与性能升级</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29A304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算力的瓶颈，国产算力是支撑不足（规模不够+准确效率不够），形势迫在眉睫，算力公司应该抱团联合共建。</w:t>
            </w:r>
          </w:p>
        </w:tc>
      </w:tr>
      <w:tr w14:paraId="20FF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top w:val="single" w:color="auto" w:sz="4" w:space="0"/>
              <w:left w:val="single" w:color="auto" w:sz="4" w:space="0"/>
              <w:right w:val="single" w:color="000000" w:sz="4" w:space="0"/>
            </w:tcBorders>
            <w:noWrap/>
            <w:vAlign w:val="center"/>
          </w:tcPr>
          <w:p w14:paraId="7D220FF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000000" w:sz="4" w:space="0"/>
              <w:bottom w:val="single" w:color="000000" w:sz="4" w:space="0"/>
              <w:right w:val="single" w:color="000000" w:sz="4" w:space="0"/>
            </w:tcBorders>
            <w:noWrap/>
            <w:vAlign w:val="center"/>
          </w:tcPr>
          <w:p w14:paraId="7059C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LM-04</w:t>
            </w:r>
          </w:p>
        </w:tc>
        <w:tc>
          <w:tcPr>
            <w:tcW w:w="2937" w:type="dxa"/>
            <w:tcBorders>
              <w:top w:val="single" w:color="auto" w:sz="4" w:space="0"/>
              <w:left w:val="single" w:color="000000" w:sz="4" w:space="0"/>
              <w:bottom w:val="single" w:color="000000" w:sz="4" w:space="0"/>
              <w:right w:val="single" w:color="000000" w:sz="4" w:space="0"/>
            </w:tcBorders>
            <w:noWrap/>
            <w:vAlign w:val="center"/>
          </w:tcPr>
          <w:p w14:paraId="7B2BCEC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模型可解释性提升与幻觉问题诊断</w:t>
            </w:r>
          </w:p>
          <w:p w14:paraId="74F428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17F6F0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模型的可解释性，不仅是大模型，小模型也存在这种问题。如何去追踪和解释，并自动化诊断一些大模型生成的问题？基于大模型这种幻觉问题，即使通过AI agenda、Rag、embedding等，也很难完全解决这种问题。因此追踪和可塑性的重要性和价值是很大的，当然也是一个难点。</w:t>
            </w:r>
          </w:p>
          <w:p w14:paraId="673A77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大模型的幻觉问题是一直存在的，生成一些看上去比较合理，但也存在不正确性，尤其在生产制造行业落地应用，没有100%准确性很难规模化应用。</w:t>
            </w:r>
          </w:p>
        </w:tc>
      </w:tr>
      <w:tr w14:paraId="4447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513CFC9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70F5EF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LM-05</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2EC3CA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大模型训练成本降低与低碳优化</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6B65D9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国目前在倡导西数东算，将西边的数据传到东边进行计算，那么带宽的问题是否能够满足？另外，低碳大模型的训练也是迫切需求的。行业模型训练能力跟医保、医药或者汽车、智慧城市、教育等应用，不仅仅是做商业化能力的构建，更多的是能达到持续化。在算法算力方面也较为被动，需采购大量算力卡进行训练，价格较高。</w:t>
            </w:r>
          </w:p>
        </w:tc>
      </w:tr>
      <w:tr w14:paraId="25E8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23803A3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FC2BC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LM-06</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180194B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通用大模型能力提升与垂直领域应用</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75B1FC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基础通用大模型能力不足，关键技术依赖国外，模型迭代较慢；多诉求、多指标下的专业应用模型建模难、技术能力不足，且多诉求之间存在矛盾。</w:t>
            </w:r>
          </w:p>
          <w:p w14:paraId="00A603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三峡的水电的调度为例，三峡地首要任务是伐洪，第二是航运，第三是伐电，还有生态。那么在水调要听哪方？一方面是希望水位越低越好，能保证防洪；但现场要求水位越高越好，水位高势能高，同样的一方水发电量更多，这就是矛盾调度。</w:t>
            </w:r>
          </w:p>
        </w:tc>
      </w:tr>
      <w:tr w14:paraId="710E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03" w:type="dxa"/>
            <w:vMerge w:val="continue"/>
            <w:tcBorders>
              <w:left w:val="single" w:color="auto" w:sz="4" w:space="0"/>
              <w:right w:val="single" w:color="000000" w:sz="4" w:space="0"/>
            </w:tcBorders>
            <w:noWrap/>
            <w:vAlign w:val="center"/>
          </w:tcPr>
          <w:p w14:paraId="703C3DE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A271B3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LM-07</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2FCC9C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高质量专业数据样本构建与自动标注</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06CECA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专业高质量的数据样本不足（像三峡集团需要的微区域高精度气象数据、水文数据等），数据样本提供能力不足，需要加快打造AI自动标注数据的能力。</w:t>
            </w:r>
          </w:p>
        </w:tc>
      </w:tr>
      <w:tr w14:paraId="17F7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1A8FBF9D">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6FC28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LM-08</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6C532A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数据流通交易机制完善与使用权获取</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5F9E45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color w:val="auto"/>
                <w:sz w:val="28"/>
                <w:szCs w:val="28"/>
                <w:lang w:val="en-US" w:eastAsia="zh-CN"/>
              </w:rPr>
              <w:t>数据流通交易能力不足，用户取得数据使用权困难。</w:t>
            </w:r>
          </w:p>
        </w:tc>
      </w:tr>
      <w:tr w14:paraId="292B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4472C0A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D1F66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LM-09</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447C83B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数据安全管理、脱密与责任界定</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54A61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color w:val="auto"/>
                <w:sz w:val="28"/>
                <w:szCs w:val="28"/>
                <w:lang w:val="en-US" w:eastAsia="zh-CN"/>
              </w:rPr>
              <w:t>数据脱密和安全管理能力不足，相关责任不清，阻碍了数据交流与共享。</w:t>
            </w:r>
          </w:p>
        </w:tc>
      </w:tr>
      <w:tr w14:paraId="51D4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10DB9408">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2A09E4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LM-10</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61E722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sz w:val="28"/>
                <w:szCs w:val="28"/>
                <w:u w:val="none"/>
                <w:lang w:val="en-US" w:eastAsia="zh-CN"/>
              </w:rPr>
              <w:t>时尚产业、消费产业的大模型的打造</w:t>
            </w:r>
          </w:p>
          <w:p w14:paraId="4CB592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lang w:val="en-US"/>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652E44E5">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目前国家经济一定程度上依靠消费产业升级来拉动，因此需要打造一个决策下消费大模型。</w:t>
            </w:r>
          </w:p>
        </w:tc>
      </w:tr>
      <w:tr w14:paraId="114C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03" w:type="dxa"/>
            <w:vMerge w:val="continue"/>
            <w:tcBorders>
              <w:left w:val="single" w:color="auto" w:sz="4" w:space="0"/>
              <w:bottom w:val="single" w:color="auto" w:sz="4" w:space="0"/>
              <w:right w:val="single" w:color="000000" w:sz="4" w:space="0"/>
            </w:tcBorders>
            <w:noWrap/>
            <w:vAlign w:val="center"/>
          </w:tcPr>
          <w:p w14:paraId="3412E8D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000000" w:sz="4" w:space="0"/>
              <w:left w:val="single" w:color="000000" w:sz="4" w:space="0"/>
              <w:bottom w:val="single" w:color="auto" w:sz="4" w:space="0"/>
              <w:right w:val="single" w:color="000000" w:sz="4" w:space="0"/>
            </w:tcBorders>
            <w:noWrap/>
            <w:vAlign w:val="center"/>
          </w:tcPr>
          <w:p w14:paraId="57622D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LM-11</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1C8DCF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eastAsia="zh-CN" w:bidi="ar-SA"/>
              </w:rPr>
            </w:pPr>
            <w:r>
              <w:rPr>
                <w:rFonts w:hint="eastAsia" w:ascii="仿宋" w:hAnsi="仿宋" w:eastAsia="仿宋" w:cs="仿宋"/>
                <w:i w:val="0"/>
                <w:iCs w:val="0"/>
                <w:color w:val="auto"/>
                <w:kern w:val="2"/>
                <w:sz w:val="28"/>
                <w:szCs w:val="28"/>
                <w:u w:val="none"/>
                <w:lang w:val="en-US" w:eastAsia="zh-CN" w:bidi="ar-SA"/>
              </w:rPr>
              <w:t>大模型技术与复杂业务场景深度融合</w:t>
            </w:r>
          </w:p>
          <w:p w14:paraId="7F17AE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eastAsia="zh-CN" w:bidi="ar-SA"/>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5F8174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模型落地行业，切入点的选择依然存在痛点。虽说大众预测大模型+场景在今年会爆发，但在实际落地过程中还有很多问题，例如数据问题、底层算力资源不到位等问题。所以导致在各个行业里，落脚点是一个很大的痛点。尤其国家关注的工程化落地、解决工业化，真正能推进新的生产力的大模型应用。</w:t>
            </w:r>
          </w:p>
        </w:tc>
      </w:tr>
      <w:tr w14:paraId="510A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1D6288E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664B85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LM-12</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40DAE54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sz w:val="28"/>
                <w:szCs w:val="28"/>
                <w:u w:val="none"/>
                <w:lang w:val="en-US" w:eastAsia="zh-CN"/>
              </w:rPr>
              <w:t>复杂业务流程智能化处理与成本控制</w:t>
            </w:r>
          </w:p>
          <w:p w14:paraId="50CFF3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sz w:val="28"/>
                <w:szCs w:val="28"/>
                <w:u w:val="none"/>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6DC00FA3">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复杂业务流程的智能化处理，现有的大语言模型在处理多步骤、多变量的复杂业务流程时，存在理解和执行上的局限性，亟需通过科技创新提升模型的准确性和稳定性，以实现高效的模型训练和部署。</w:t>
            </w:r>
          </w:p>
          <w:p w14:paraId="5716BF4D">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val="en-US" w:eastAsia="zh-CN"/>
              </w:rPr>
              <w:t>模型优化成本过高，因为大模型的推理和训练优化费用较高，如何在保证模型性能的前提下，降低优化成本是一个重要的技术挑战，需通过技术攻关实现成本的有效控制。</w:t>
            </w:r>
          </w:p>
        </w:tc>
      </w:tr>
      <w:tr w14:paraId="6C6B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114E9BA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686238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LM-13</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4FB4C051">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AI大规模应用中的数据安全保障机制</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2F0C4A96">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随着AI大模型在各个产业中的广泛应用，企业需要处理和存储海量的用户数据。如何在数据收集、存储、传输和处理过程中确保数据的隐私和安全，防止数据泄露和不当使用，是企业面临的重大挑战。</w:t>
            </w:r>
          </w:p>
        </w:tc>
      </w:tr>
      <w:tr w14:paraId="4DED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47119ED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0EDCCD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LM-14</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043B2899">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AI伦理规范与企业社会责任平衡</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22FAE31D">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I技术的应用可能会引发一系列伦理问题，例如数据偏见、算法歧视、隐私侵犯等。企业在利用AI大模型提升业务效率的同时，如何确保技术的公平性、透明性和合规性，维护用户的权益和社会的信任，是一个重要的课题。</w:t>
            </w:r>
          </w:p>
        </w:tc>
      </w:tr>
      <w:tr w14:paraId="567B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17C245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1DA0F8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LM-15</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5D598069">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大模型训练数据偏见识别与消除</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D07844A">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I大模型在训练过程中依赖于大量的数据，如果数据中存在偏见，模型的决策也会受到影响，可能导致不公平的结果和社会问题。因此，如何识别和消除数据偏见，确保AI模型的公正性和可靠性，是企业必须解决的问题。</w:t>
            </w:r>
          </w:p>
        </w:tc>
      </w:tr>
      <w:tr w14:paraId="723E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207C66E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23960B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LM-16</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52B2C5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大模型与知识图谱协同构建与应用</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E4D89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sz w:val="28"/>
                <w:szCs w:val="28"/>
                <w:lang w:val="en-US" w:eastAsia="zh-CN"/>
              </w:rPr>
              <w:t>如何研发基于大语言模型和知识图谱的新能源智能问答系统，以提升信息处理速度和决策支持能力？如何运用AI大模型构建医药专业知识图谱？</w:t>
            </w:r>
          </w:p>
        </w:tc>
      </w:tr>
      <w:tr w14:paraId="012C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76594B5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1C355C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LM-17</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6A828075">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智算中心高效支持大模型训练与推理</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51DCF4CA">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对智算中心的要求：如何提供更高效、更经济的算力支持，以降低大模型训练和推理的成本？</w:t>
            </w:r>
          </w:p>
        </w:tc>
      </w:tr>
      <w:tr w14:paraId="06E0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659D5D2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5A92F8C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LM-18</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7A9B184D">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设备厂商定制化服务与技术支持优化</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3F578299">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对设备厂商的要求：设备厂商如何提供更全面的技术支持和定制化服务，以满足不同AI企业的特殊需求？</w:t>
            </w:r>
          </w:p>
        </w:tc>
      </w:tr>
      <w:tr w14:paraId="5C96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029E756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12166A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LM-19</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409F4E27">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新能源系统多维风险智能决策技术</w:t>
            </w:r>
          </w:p>
          <w:p w14:paraId="4EAB32DA">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620496CF">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能源电力系统在运行过程中面临复杂多变的安全风险，这些风险因素不仅数量庞大，而且在环境、人员操作、设备状态及管理层面交织成非线性的复杂网络，传统风险分析方法难以捕捉这种多层次的耦合效应。尤其在“环境-人-设备-管理”四大要素的相互作用下，风险评估与控制变得异常艰巨。此外，随着企业信息化程度加深，数据量激增，结构化知识的高昂维护成本、海量信息检索效率低下、问答系统灵活性与准确性不足等问题凸显，严重制约了决策效率和业务执行质量。针对这些技术难题，亟需构建一体化的风险因素知识图谱，实现新能源发电系统安全风险的精准建模，并研发基于大语言模型和知识图谱的新能源智能问答系统，以提升信息处理速度和决策支持能力。</w:t>
            </w:r>
          </w:p>
        </w:tc>
      </w:tr>
      <w:tr w14:paraId="1BBF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3D5B8DB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44C4FF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LM-20</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3CED49FE">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大模型辅助专业领域研发与设计优化</w:t>
            </w:r>
          </w:p>
          <w:p w14:paraId="01F28005">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7837C081">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做芯片设计，没找到合适的应用工具能辅助我们的设计的，特别是电子，还有编程，比如Java、passion，一用到底层的真的很糟。像c语言，C++，在结合芯片行业完全不行。</w:t>
            </w:r>
          </w:p>
        </w:tc>
      </w:tr>
      <w:tr w14:paraId="5E87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12DABEA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1BDE80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LM-21</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6A24B669">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跨领域复合型AI人才培养与储备</w:t>
            </w:r>
          </w:p>
          <w:p w14:paraId="3B708542">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34BF5FE3">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人才短缺，技术方懂技术不懂业务，客户懂业务不懂技术，双方沟通成本较高，懂技术又懂业务交叉型的人才少，例如医疗领域，有医疗背景又懂技术的人是能帮助技术大模型落地重要环节。</w:t>
            </w:r>
          </w:p>
          <w:p w14:paraId="572AD7CF">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算力调度方面，既能懂智算调优，又能和结合本企的场景落地，知道如何将算力最大化使用，人才智算出身，非传统IDC行业，这种人才短缺。</w:t>
            </w:r>
          </w:p>
        </w:tc>
      </w:tr>
      <w:tr w14:paraId="2A4F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205C53B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3C42CF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LM-22</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3601895F">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自动驾驶大模型安全性与实时决策优化</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165DF716">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自动驾驶系统在各种复杂环境中可靠运行，包括提高对突发情况的响应能力和安全性，保障数据安全与合规性。同时，需实现快速决策，利用多传感器融合和智能算法，在毫秒级别内做出准确判断，以适应不同交通条件和环境变化。此外，系统应具备人机协作能力和持续学习能力，以不断提升整体性能和安全性。</w:t>
            </w:r>
          </w:p>
        </w:tc>
      </w:tr>
    </w:tbl>
    <w:p w14:paraId="176801C7">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sz w:val="32"/>
          <w:szCs w:val="32"/>
        </w:rPr>
      </w:pPr>
    </w:p>
    <w:p w14:paraId="05891C4E">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sz w:val="32"/>
          <w:szCs w:val="32"/>
        </w:rPr>
      </w:pPr>
    </w:p>
    <w:p w14:paraId="60C9FD9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693E304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5CB21AD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055011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b/>
          <w:bCs/>
          <w:i w:val="0"/>
          <w:iCs w:val="0"/>
          <w:color w:val="auto"/>
          <w:kern w:val="2"/>
          <w:sz w:val="28"/>
          <w:szCs w:val="28"/>
          <w:u w:val="none"/>
          <w:lang w:val="en-US" w:eastAsia="zh-CN" w:bidi="ar-SA"/>
        </w:rPr>
      </w:pPr>
      <w:r>
        <w:rPr>
          <w:rFonts w:hint="eastAsia" w:ascii="仿宋" w:hAnsi="仿宋" w:eastAsia="仿宋" w:cs="仿宋"/>
          <w:b/>
          <w:bCs/>
          <w:i w:val="0"/>
          <w:iCs w:val="0"/>
          <w:color w:val="auto"/>
          <w:kern w:val="2"/>
          <w:sz w:val="28"/>
          <w:szCs w:val="28"/>
          <w:u w:val="none"/>
          <w:lang w:val="en-US" w:eastAsia="zh-CN" w:bidi="ar-SA"/>
        </w:rPr>
        <w:t>二、低空经济</w:t>
      </w:r>
    </w:p>
    <w:tbl>
      <w:tblPr>
        <w:tblStyle w:val="5"/>
        <w:tblW w:w="14688" w:type="dxa"/>
        <w:jc w:val="center"/>
        <w:tblLayout w:type="autofit"/>
        <w:tblCellMar>
          <w:top w:w="0" w:type="dxa"/>
          <w:left w:w="108" w:type="dxa"/>
          <w:bottom w:w="0" w:type="dxa"/>
          <w:right w:w="108" w:type="dxa"/>
        </w:tblCellMar>
      </w:tblPr>
      <w:tblGrid>
        <w:gridCol w:w="1203"/>
        <w:gridCol w:w="1203"/>
        <w:gridCol w:w="4552"/>
        <w:gridCol w:w="7730"/>
      </w:tblGrid>
      <w:tr w14:paraId="112F3D60">
        <w:tblPrEx>
          <w:tblCellMar>
            <w:top w:w="0" w:type="dxa"/>
            <w:left w:w="108" w:type="dxa"/>
            <w:bottom w:w="0" w:type="dxa"/>
            <w:right w:w="108" w:type="dxa"/>
          </w:tblCellMar>
        </w:tblPrEx>
        <w:trPr>
          <w:trHeight w:val="820" w:hRule="atLeast"/>
          <w:jc w:val="center"/>
        </w:trPr>
        <w:tc>
          <w:tcPr>
            <w:tcW w:w="1203" w:type="dxa"/>
            <w:tcBorders>
              <w:top w:val="single" w:color="000000" w:sz="4" w:space="0"/>
              <w:left w:val="single" w:color="000000" w:sz="4" w:space="0"/>
              <w:bottom w:val="single" w:color="000000" w:sz="4" w:space="0"/>
              <w:right w:val="single" w:color="000000" w:sz="4" w:space="0"/>
            </w:tcBorders>
            <w:noWrap/>
            <w:vAlign w:val="center"/>
          </w:tcPr>
          <w:p w14:paraId="572F5532">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领域</w:t>
            </w: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45CCEC4">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编号</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2320BBD6">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产业问题</w:t>
            </w:r>
          </w:p>
        </w:tc>
        <w:tc>
          <w:tcPr>
            <w:tcW w:w="7730" w:type="dxa"/>
            <w:tcBorders>
              <w:top w:val="single" w:color="000000" w:sz="4" w:space="0"/>
              <w:left w:val="single" w:color="000000" w:sz="4" w:space="0"/>
              <w:bottom w:val="single" w:color="000000" w:sz="4" w:space="0"/>
              <w:right w:val="single" w:color="000000" w:sz="4" w:space="0"/>
            </w:tcBorders>
            <w:noWrap/>
            <w:vAlign w:val="center"/>
          </w:tcPr>
          <w:p w14:paraId="7D9D3AC1">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问题（需求）具体描述</w:t>
            </w:r>
          </w:p>
        </w:tc>
      </w:tr>
      <w:tr w14:paraId="5CA5083E">
        <w:tblPrEx>
          <w:tblCellMar>
            <w:top w:w="0" w:type="dxa"/>
            <w:left w:w="108" w:type="dxa"/>
            <w:bottom w:w="0" w:type="dxa"/>
            <w:right w:w="108" w:type="dxa"/>
          </w:tblCellMar>
        </w:tblPrEx>
        <w:trPr>
          <w:trHeight w:val="820" w:hRule="atLeast"/>
          <w:jc w:val="center"/>
        </w:trPr>
        <w:tc>
          <w:tcPr>
            <w:tcW w:w="1203" w:type="dxa"/>
            <w:vMerge w:val="restart"/>
            <w:tcBorders>
              <w:top w:val="single" w:color="000000" w:sz="4" w:space="0"/>
              <w:left w:val="single" w:color="000000" w:sz="4" w:space="0"/>
              <w:right w:val="single" w:color="000000" w:sz="4" w:space="0"/>
            </w:tcBorders>
            <w:noWrap/>
            <w:vAlign w:val="center"/>
          </w:tcPr>
          <w:p w14:paraId="575F5676">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低空</w:t>
            </w:r>
          </w:p>
          <w:p w14:paraId="6160C27E">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经济</w:t>
            </w: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2E0A0A3">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LA-01</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13968457">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eVTOL垂直起降场建设标准</w:t>
            </w:r>
          </w:p>
        </w:tc>
        <w:tc>
          <w:tcPr>
            <w:tcW w:w="7730" w:type="dxa"/>
            <w:tcBorders>
              <w:top w:val="single" w:color="auto" w:sz="4" w:space="0"/>
              <w:left w:val="single" w:color="auto" w:sz="4" w:space="0"/>
              <w:bottom w:val="single" w:color="auto" w:sz="4" w:space="0"/>
              <w:right w:val="single" w:color="auto" w:sz="4" w:space="0"/>
            </w:tcBorders>
            <w:noWrap/>
            <w:vAlign w:val="top"/>
          </w:tcPr>
          <w:p w14:paraId="42AFB274">
            <w:pPr>
              <w:widowControl/>
              <w:jc w:val="left"/>
              <w:textAlignment w:val="center"/>
              <w:rPr>
                <w:rFonts w:hint="eastAsia" w:ascii="仿宋" w:hAnsi="仿宋" w:eastAsia="仿宋" w:cs="仿宋"/>
                <w:color w:val="000000"/>
                <w:kern w:val="0"/>
                <w:sz w:val="28"/>
                <w:szCs w:val="28"/>
                <w:lang w:bidi="ar"/>
              </w:rPr>
            </w:pPr>
            <w:r>
              <w:rPr>
                <w:rFonts w:hint="eastAsia" w:ascii="仿宋_GB2312" w:eastAsia="仿宋_GB2312"/>
                <w:sz w:val="28"/>
                <w:szCs w:val="28"/>
              </w:rPr>
              <w:t>eVTOL垂直起降场的场地建设要求与传统直升机场趋同，相对复杂，如何大面积复制起降场的场地建设</w:t>
            </w:r>
          </w:p>
        </w:tc>
      </w:tr>
      <w:tr w14:paraId="6EBEC525">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56DE994A">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94E842A">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LA-02</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282E119F">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CNS设施建设缺乏硬件</w:t>
            </w:r>
          </w:p>
        </w:tc>
        <w:tc>
          <w:tcPr>
            <w:tcW w:w="7730" w:type="dxa"/>
            <w:tcBorders>
              <w:top w:val="single" w:color="auto" w:sz="4" w:space="0"/>
              <w:left w:val="single" w:color="auto" w:sz="4" w:space="0"/>
              <w:bottom w:val="single" w:color="auto" w:sz="4" w:space="0"/>
              <w:right w:val="single" w:color="auto" w:sz="4" w:space="0"/>
            </w:tcBorders>
            <w:noWrap/>
            <w:vAlign w:val="top"/>
          </w:tcPr>
          <w:p w14:paraId="56BB65DD">
            <w:pPr>
              <w:widowControl/>
              <w:jc w:val="left"/>
              <w:textAlignment w:val="center"/>
              <w:rPr>
                <w:rFonts w:hint="eastAsia" w:ascii="仿宋" w:hAnsi="仿宋" w:eastAsia="仿宋" w:cs="仿宋"/>
                <w:sz w:val="28"/>
                <w:szCs w:val="28"/>
              </w:rPr>
            </w:pPr>
            <w:r>
              <w:rPr>
                <w:rFonts w:hint="eastAsia" w:ascii="仿宋_GB2312" w:eastAsia="仿宋_GB2312"/>
                <w:sz w:val="28"/>
                <w:szCs w:val="28"/>
              </w:rPr>
              <w:t>CNS设施建设尚无应用实例，通信机制和信息化方面缺乏硬件支撑问题</w:t>
            </w:r>
          </w:p>
        </w:tc>
      </w:tr>
      <w:tr w14:paraId="5CBD7F40">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6305C48C">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C4174B6">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LA-03</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247AADE4">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垂直起降场无电气化标准</w:t>
            </w:r>
          </w:p>
        </w:tc>
        <w:tc>
          <w:tcPr>
            <w:tcW w:w="7730" w:type="dxa"/>
            <w:tcBorders>
              <w:top w:val="single" w:color="auto" w:sz="4" w:space="0"/>
              <w:left w:val="single" w:color="auto" w:sz="4" w:space="0"/>
              <w:bottom w:val="single" w:color="auto" w:sz="4" w:space="0"/>
              <w:right w:val="single" w:color="auto" w:sz="4" w:space="0"/>
            </w:tcBorders>
            <w:noWrap/>
            <w:vAlign w:val="top"/>
          </w:tcPr>
          <w:p w14:paraId="2451E3AF">
            <w:pPr>
              <w:widowControl/>
              <w:jc w:val="left"/>
              <w:textAlignment w:val="center"/>
              <w:rPr>
                <w:rFonts w:hint="eastAsia" w:ascii="仿宋" w:hAnsi="仿宋" w:eastAsia="仿宋" w:cs="仿宋"/>
                <w:color w:val="000000"/>
                <w:kern w:val="0"/>
                <w:sz w:val="28"/>
                <w:szCs w:val="28"/>
                <w:lang w:bidi="ar"/>
              </w:rPr>
            </w:pPr>
            <w:r>
              <w:rPr>
                <w:rFonts w:hint="eastAsia" w:ascii="仿宋_GB2312" w:eastAsia="仿宋_GB2312"/>
                <w:sz w:val="28"/>
                <w:szCs w:val="28"/>
              </w:rPr>
              <w:t>垂直起降场电气化发展路线如充电站、电压调节器、变压器、架空或地下线路</w:t>
            </w:r>
          </w:p>
        </w:tc>
      </w:tr>
      <w:tr w14:paraId="36D07737">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02C388F4">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A3B0753">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LA-04</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45DF2CB3">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中大型无人机上保险困难</w:t>
            </w:r>
          </w:p>
        </w:tc>
        <w:tc>
          <w:tcPr>
            <w:tcW w:w="7730" w:type="dxa"/>
            <w:tcBorders>
              <w:top w:val="single" w:color="auto" w:sz="4" w:space="0"/>
              <w:left w:val="single" w:color="auto" w:sz="4" w:space="0"/>
              <w:bottom w:val="single" w:color="auto" w:sz="4" w:space="0"/>
              <w:right w:val="single" w:color="auto" w:sz="4" w:space="0"/>
            </w:tcBorders>
            <w:noWrap/>
            <w:vAlign w:val="top"/>
          </w:tcPr>
          <w:p w14:paraId="5E65B090">
            <w:pPr>
              <w:widowControl/>
              <w:jc w:val="left"/>
              <w:textAlignment w:val="center"/>
              <w:rPr>
                <w:rFonts w:hint="eastAsia" w:ascii="仿宋" w:hAnsi="仿宋" w:eastAsia="仿宋" w:cs="仿宋"/>
                <w:color w:val="000000"/>
                <w:sz w:val="28"/>
                <w:szCs w:val="28"/>
              </w:rPr>
            </w:pPr>
            <w:r>
              <w:rPr>
                <w:rFonts w:hint="eastAsia" w:ascii="仿宋_GB2312" w:eastAsia="仿宋_GB2312"/>
                <w:sz w:val="28"/>
                <w:szCs w:val="28"/>
              </w:rPr>
              <w:t>中大型无人机保险中，如何基于风险运行进行评估？</w:t>
            </w:r>
          </w:p>
        </w:tc>
      </w:tr>
      <w:tr w14:paraId="58AE6521">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3B9ACFE8">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837A4A0">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LA-05</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517C756D">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高密度和高功率电池研发</w:t>
            </w:r>
          </w:p>
        </w:tc>
        <w:tc>
          <w:tcPr>
            <w:tcW w:w="7730" w:type="dxa"/>
            <w:tcBorders>
              <w:top w:val="single" w:color="auto" w:sz="4" w:space="0"/>
              <w:left w:val="single" w:color="auto" w:sz="4" w:space="0"/>
              <w:bottom w:val="single" w:color="auto" w:sz="4" w:space="0"/>
              <w:right w:val="single" w:color="auto" w:sz="4" w:space="0"/>
            </w:tcBorders>
            <w:noWrap/>
            <w:vAlign w:val="top"/>
          </w:tcPr>
          <w:p w14:paraId="46742E2E">
            <w:pPr>
              <w:widowControl/>
              <w:jc w:val="left"/>
              <w:textAlignment w:val="center"/>
              <w:rPr>
                <w:rFonts w:hint="eastAsia" w:ascii="仿宋" w:hAnsi="仿宋" w:eastAsia="仿宋" w:cs="仿宋"/>
                <w:sz w:val="28"/>
                <w:szCs w:val="28"/>
              </w:rPr>
            </w:pPr>
            <w:r>
              <w:rPr>
                <w:rFonts w:hint="eastAsia" w:ascii="仿宋_GB2312" w:eastAsia="仿宋_GB2312"/>
                <w:sz w:val="28"/>
                <w:szCs w:val="28"/>
              </w:rPr>
              <w:t>动力系统是飞行器性能的关键决定因素，提高电池能量密度和功率密度是动力系统中关键的两个方面。如何研发使用固态电池技术提高能量密度和安全性？</w:t>
            </w:r>
          </w:p>
        </w:tc>
      </w:tr>
      <w:tr w14:paraId="28F7C204">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578E1940">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76B2CEE3">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LA-06</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2E44BB9C">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高密度飞行的低空通信技术</w:t>
            </w:r>
          </w:p>
        </w:tc>
        <w:tc>
          <w:tcPr>
            <w:tcW w:w="7730" w:type="dxa"/>
            <w:tcBorders>
              <w:top w:val="single" w:color="auto" w:sz="4" w:space="0"/>
              <w:left w:val="single" w:color="auto" w:sz="4" w:space="0"/>
              <w:bottom w:val="single" w:color="auto" w:sz="4" w:space="0"/>
              <w:right w:val="single" w:color="auto" w:sz="4" w:space="0"/>
            </w:tcBorders>
            <w:noWrap/>
            <w:vAlign w:val="top"/>
          </w:tcPr>
          <w:p w14:paraId="428FBA50">
            <w:pPr>
              <w:widowControl/>
              <w:jc w:val="left"/>
              <w:textAlignment w:val="center"/>
              <w:rPr>
                <w:rFonts w:hint="eastAsia" w:ascii="仿宋" w:hAnsi="仿宋" w:eastAsia="仿宋" w:cs="仿宋"/>
                <w:sz w:val="28"/>
                <w:szCs w:val="28"/>
              </w:rPr>
            </w:pPr>
            <w:r>
              <w:rPr>
                <w:rFonts w:hint="eastAsia" w:ascii="仿宋_GB2312" w:eastAsia="仿宋_GB2312"/>
                <w:sz w:val="28"/>
                <w:szCs w:val="28"/>
              </w:rPr>
              <w:t>低空通信问题，由于低空飞行器智能化水平高，如何提高带宽的需求，以保障对飞行数据的稳定支持;</w:t>
            </w:r>
          </w:p>
        </w:tc>
      </w:tr>
      <w:tr w14:paraId="76A4320A">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6831820A">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5F96F49D">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LA-07</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5D4F1098">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低空通信感知技术</w:t>
            </w:r>
          </w:p>
        </w:tc>
        <w:tc>
          <w:tcPr>
            <w:tcW w:w="7730" w:type="dxa"/>
            <w:tcBorders>
              <w:top w:val="single" w:color="auto" w:sz="4" w:space="0"/>
              <w:left w:val="single" w:color="auto" w:sz="4" w:space="0"/>
              <w:bottom w:val="single" w:color="auto" w:sz="4" w:space="0"/>
              <w:right w:val="single" w:color="auto" w:sz="4" w:space="0"/>
            </w:tcBorders>
            <w:noWrap/>
            <w:vAlign w:val="top"/>
          </w:tcPr>
          <w:p w14:paraId="7AE11522">
            <w:pPr>
              <w:widowControl/>
              <w:jc w:val="left"/>
              <w:textAlignment w:val="center"/>
              <w:rPr>
                <w:rFonts w:hint="eastAsia" w:ascii="仿宋" w:hAnsi="仿宋" w:eastAsia="仿宋" w:cs="仿宋"/>
                <w:sz w:val="28"/>
                <w:szCs w:val="28"/>
              </w:rPr>
            </w:pPr>
            <w:r>
              <w:rPr>
                <w:rFonts w:hint="eastAsia" w:ascii="仿宋_GB2312" w:eastAsia="仿宋_GB2312"/>
                <w:sz w:val="28"/>
                <w:szCs w:val="28"/>
              </w:rPr>
              <w:t>城市中建筑密集，卫星导航信号易受到干扰，而传统雷达的地面部署成本高昂，如何解决低空感知难题？</w:t>
            </w:r>
          </w:p>
        </w:tc>
      </w:tr>
      <w:tr w14:paraId="6AE4456A">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07F9A149">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5D0376A">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LA-08</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14BECA27">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低空新基建保障不完善</w:t>
            </w:r>
          </w:p>
        </w:tc>
        <w:tc>
          <w:tcPr>
            <w:tcW w:w="7730" w:type="dxa"/>
            <w:tcBorders>
              <w:top w:val="single" w:color="auto" w:sz="4" w:space="0"/>
              <w:left w:val="single" w:color="auto" w:sz="4" w:space="0"/>
              <w:bottom w:val="single" w:color="auto" w:sz="4" w:space="0"/>
              <w:right w:val="single" w:color="auto" w:sz="4" w:space="0"/>
            </w:tcBorders>
            <w:noWrap/>
            <w:vAlign w:val="top"/>
          </w:tcPr>
          <w:p w14:paraId="0583B9B5">
            <w:pPr>
              <w:widowControl/>
              <w:jc w:val="left"/>
              <w:textAlignment w:val="center"/>
              <w:rPr>
                <w:rFonts w:hint="eastAsia" w:ascii="仿宋" w:hAnsi="仿宋" w:eastAsia="仿宋" w:cs="仿宋"/>
                <w:sz w:val="28"/>
                <w:szCs w:val="28"/>
              </w:rPr>
            </w:pPr>
            <w:r>
              <w:rPr>
                <w:rFonts w:hint="eastAsia" w:ascii="仿宋_GB2312" w:eastAsia="仿宋_GB2312"/>
                <w:sz w:val="28"/>
                <w:szCs w:val="28"/>
              </w:rPr>
              <w:t>低空导航挑战，随着低空活动频次的增加和高密度飞行的需求，导航需要更加数字化、精细化，如何加强通信设施的建设问题？</w:t>
            </w:r>
          </w:p>
        </w:tc>
      </w:tr>
      <w:tr w14:paraId="477EC5E4">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15CB7EB6">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B53549B">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LA-09</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08EE6E14">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有人无人融合运行机制</w:t>
            </w:r>
          </w:p>
        </w:tc>
        <w:tc>
          <w:tcPr>
            <w:tcW w:w="7730" w:type="dxa"/>
            <w:tcBorders>
              <w:top w:val="single" w:color="auto" w:sz="4" w:space="0"/>
              <w:left w:val="single" w:color="auto" w:sz="4" w:space="0"/>
              <w:bottom w:val="single" w:color="auto" w:sz="4" w:space="0"/>
              <w:right w:val="single" w:color="auto" w:sz="4" w:space="0"/>
            </w:tcBorders>
            <w:noWrap/>
            <w:vAlign w:val="top"/>
          </w:tcPr>
          <w:p w14:paraId="49B9CF61">
            <w:pPr>
              <w:widowControl/>
              <w:jc w:val="left"/>
              <w:textAlignment w:val="center"/>
              <w:rPr>
                <w:rFonts w:hint="eastAsia" w:ascii="仿宋" w:hAnsi="仿宋" w:eastAsia="仿宋" w:cs="仿宋"/>
                <w:sz w:val="28"/>
                <w:szCs w:val="28"/>
              </w:rPr>
            </w:pPr>
            <w:r>
              <w:rPr>
                <w:rFonts w:hint="eastAsia" w:ascii="仿宋_GB2312" w:eastAsia="仿宋_GB2312"/>
                <w:sz w:val="28"/>
                <w:szCs w:val="28"/>
              </w:rPr>
              <w:t>探索有人无人融合运行，如何拓展无人驾驶航空器场景应用？</w:t>
            </w:r>
          </w:p>
        </w:tc>
      </w:tr>
      <w:tr w14:paraId="30404B54">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2F10E8F8">
            <w:pPr>
              <w:widowControl/>
              <w:jc w:val="center"/>
              <w:textAlignment w:val="center"/>
              <w:rPr>
                <w:rFonts w:hint="eastAsia" w:ascii="仿宋" w:hAnsi="仿宋" w:eastAsia="仿宋" w:cs="仿宋"/>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08B07BA">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LA-10</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1BAFF136">
            <w:pPr>
              <w:widowControl/>
              <w:jc w:val="left"/>
              <w:textAlignment w:val="center"/>
              <w:rPr>
                <w:rFonts w:hint="eastAsia" w:ascii="仿宋" w:hAnsi="仿宋" w:eastAsia="仿宋" w:cs="仿宋"/>
                <w:sz w:val="28"/>
                <w:szCs w:val="28"/>
              </w:rPr>
            </w:pPr>
            <w:r>
              <w:rPr>
                <w:rFonts w:hint="eastAsia" w:ascii="仿宋" w:hAnsi="仿宋" w:eastAsia="仿宋" w:cs="仿宋"/>
                <w:sz w:val="28"/>
                <w:szCs w:val="28"/>
              </w:rPr>
              <w:t>低空气象信息共享模式</w:t>
            </w:r>
          </w:p>
        </w:tc>
        <w:tc>
          <w:tcPr>
            <w:tcW w:w="7730" w:type="dxa"/>
            <w:tcBorders>
              <w:top w:val="single" w:color="auto" w:sz="4" w:space="0"/>
              <w:left w:val="single" w:color="auto" w:sz="4" w:space="0"/>
              <w:bottom w:val="single" w:color="auto" w:sz="4" w:space="0"/>
              <w:right w:val="single" w:color="auto" w:sz="4" w:space="0"/>
            </w:tcBorders>
            <w:noWrap/>
            <w:vAlign w:val="top"/>
          </w:tcPr>
          <w:p w14:paraId="4A369AE8">
            <w:pPr>
              <w:widowControl/>
              <w:jc w:val="left"/>
              <w:textAlignment w:val="center"/>
              <w:rPr>
                <w:rFonts w:hint="eastAsia" w:ascii="仿宋" w:hAnsi="仿宋" w:eastAsia="仿宋" w:cs="仿宋"/>
                <w:color w:val="000000"/>
                <w:sz w:val="28"/>
                <w:szCs w:val="28"/>
              </w:rPr>
            </w:pPr>
            <w:r>
              <w:rPr>
                <w:rFonts w:hint="eastAsia" w:ascii="仿宋_GB2312" w:eastAsia="仿宋_GB2312"/>
                <w:sz w:val="28"/>
                <w:szCs w:val="28"/>
              </w:rPr>
              <w:t>低空气象探测设备是气象服务的基础，但在面向低空经济的气象服务中，探测设备不足是一个突出问题。现有的气象探测设备大多针对高空和地面气象条件进行监测，而针对低空气象条件的探测设备相对较少。在低空经济气象服务中，信息共享困难存在问题？</w:t>
            </w:r>
          </w:p>
        </w:tc>
      </w:tr>
      <w:tr w14:paraId="3C2253A4">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00C9454A">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3D06622C">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LA-11</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4A68F11D">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城市空中交通航路航线划设</w:t>
            </w:r>
          </w:p>
        </w:tc>
        <w:tc>
          <w:tcPr>
            <w:tcW w:w="7730" w:type="dxa"/>
            <w:tcBorders>
              <w:top w:val="single" w:color="auto" w:sz="4" w:space="0"/>
              <w:left w:val="single" w:color="auto" w:sz="4" w:space="0"/>
              <w:bottom w:val="single" w:color="auto" w:sz="4" w:space="0"/>
              <w:right w:val="single" w:color="auto" w:sz="4" w:space="0"/>
            </w:tcBorders>
            <w:noWrap/>
            <w:vAlign w:val="top"/>
          </w:tcPr>
          <w:p w14:paraId="49569FC2">
            <w:pPr>
              <w:widowControl/>
              <w:jc w:val="left"/>
              <w:textAlignment w:val="center"/>
              <w:rPr>
                <w:rFonts w:hint="eastAsia" w:ascii="仿宋" w:hAnsi="仿宋" w:eastAsia="仿宋" w:cs="仿宋"/>
                <w:color w:val="000000"/>
                <w:sz w:val="28"/>
                <w:szCs w:val="28"/>
              </w:rPr>
            </w:pPr>
            <w:r>
              <w:rPr>
                <w:rFonts w:hint="eastAsia" w:ascii="仿宋_GB2312" w:eastAsia="仿宋_GB2312"/>
                <w:sz w:val="28"/>
                <w:szCs w:val="28"/>
              </w:rPr>
              <w:t>低空很多应用场景都在城市上空，城市人为建筑等障碍物无数据支撑，城市无三维实景数据，且规划测绘部门无准确工程建筑数据，航路规划存在风险问题？</w:t>
            </w:r>
          </w:p>
        </w:tc>
      </w:tr>
      <w:tr w14:paraId="13055915">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2E8153A6">
            <w:pPr>
              <w:widowControl/>
              <w:jc w:val="center"/>
              <w:textAlignment w:val="center"/>
              <w:rPr>
                <w:rFonts w:hint="eastAsia" w:ascii="仿宋" w:hAnsi="仿宋" w:eastAsia="仿宋" w:cs="仿宋"/>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272A2035">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LA-12</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104178F0">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低空飞行分类</w:t>
            </w:r>
          </w:p>
        </w:tc>
        <w:tc>
          <w:tcPr>
            <w:tcW w:w="7730" w:type="dxa"/>
            <w:tcBorders>
              <w:top w:val="single" w:color="auto" w:sz="4" w:space="0"/>
              <w:left w:val="single" w:color="auto" w:sz="4" w:space="0"/>
              <w:bottom w:val="single" w:color="auto" w:sz="4" w:space="0"/>
              <w:right w:val="single" w:color="auto" w:sz="4" w:space="0"/>
            </w:tcBorders>
            <w:noWrap/>
            <w:vAlign w:val="top"/>
          </w:tcPr>
          <w:p w14:paraId="559A6820">
            <w:pPr>
              <w:widowControl/>
              <w:jc w:val="left"/>
              <w:textAlignment w:val="center"/>
              <w:rPr>
                <w:rFonts w:hint="eastAsia" w:ascii="仿宋" w:hAnsi="仿宋" w:eastAsia="仿宋" w:cs="仿宋"/>
                <w:sz w:val="28"/>
                <w:szCs w:val="28"/>
              </w:rPr>
            </w:pPr>
            <w:r>
              <w:rPr>
                <w:rFonts w:hint="eastAsia" w:ascii="仿宋_GB2312" w:eastAsia="仿宋_GB2312"/>
                <w:sz w:val="28"/>
                <w:szCs w:val="28"/>
              </w:rPr>
              <w:t>低空飞行器类型众多，分类分级的运行规则、基础设施标准？</w:t>
            </w:r>
          </w:p>
        </w:tc>
      </w:tr>
      <w:tr w14:paraId="7B42C066">
        <w:tblPrEx>
          <w:tblCellMar>
            <w:top w:w="0" w:type="dxa"/>
            <w:left w:w="108" w:type="dxa"/>
            <w:bottom w:w="0" w:type="dxa"/>
            <w:right w:w="108" w:type="dxa"/>
          </w:tblCellMar>
        </w:tblPrEx>
        <w:trPr>
          <w:trHeight w:val="879" w:hRule="atLeast"/>
          <w:jc w:val="center"/>
        </w:trPr>
        <w:tc>
          <w:tcPr>
            <w:tcW w:w="1203" w:type="dxa"/>
            <w:vMerge w:val="continue"/>
            <w:tcBorders>
              <w:left w:val="single" w:color="000000" w:sz="4" w:space="0"/>
              <w:right w:val="single" w:color="000000" w:sz="4" w:space="0"/>
            </w:tcBorders>
            <w:noWrap/>
            <w:vAlign w:val="center"/>
          </w:tcPr>
          <w:p w14:paraId="73680A58">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C337C1C">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LA-13</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45E7CA2C">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航行服务的军民航协同机制</w:t>
            </w:r>
          </w:p>
        </w:tc>
        <w:tc>
          <w:tcPr>
            <w:tcW w:w="7730" w:type="dxa"/>
            <w:tcBorders>
              <w:top w:val="single" w:color="auto" w:sz="4" w:space="0"/>
              <w:left w:val="single" w:color="auto" w:sz="4" w:space="0"/>
              <w:bottom w:val="single" w:color="auto" w:sz="4" w:space="0"/>
              <w:right w:val="single" w:color="auto" w:sz="4" w:space="0"/>
            </w:tcBorders>
            <w:noWrap/>
            <w:vAlign w:val="top"/>
          </w:tcPr>
          <w:p w14:paraId="5E234BDF">
            <w:pPr>
              <w:widowControl/>
              <w:jc w:val="left"/>
              <w:textAlignment w:val="center"/>
              <w:rPr>
                <w:rFonts w:hint="eastAsia" w:ascii="仿宋" w:hAnsi="仿宋" w:eastAsia="仿宋" w:cs="仿宋"/>
                <w:color w:val="000000"/>
                <w:kern w:val="0"/>
                <w:sz w:val="28"/>
                <w:szCs w:val="28"/>
                <w:lang w:bidi="ar"/>
              </w:rPr>
            </w:pPr>
            <w:r>
              <w:rPr>
                <w:rFonts w:hint="eastAsia" w:ascii="仿宋_GB2312" w:eastAsia="仿宋_GB2312"/>
                <w:sz w:val="28"/>
                <w:szCs w:val="28"/>
              </w:rPr>
              <w:t>民用无人驾驶航空器航行服务提供方与军民航的协同运行机制如何解决？</w:t>
            </w:r>
          </w:p>
        </w:tc>
      </w:tr>
      <w:tr w14:paraId="7197D093">
        <w:tblPrEx>
          <w:tblCellMar>
            <w:top w:w="0" w:type="dxa"/>
            <w:left w:w="108" w:type="dxa"/>
            <w:bottom w:w="0" w:type="dxa"/>
            <w:right w:w="108" w:type="dxa"/>
          </w:tblCellMar>
        </w:tblPrEx>
        <w:trPr>
          <w:trHeight w:val="879" w:hRule="atLeast"/>
          <w:jc w:val="center"/>
        </w:trPr>
        <w:tc>
          <w:tcPr>
            <w:tcW w:w="1203" w:type="dxa"/>
            <w:vMerge w:val="continue"/>
            <w:tcBorders>
              <w:left w:val="single" w:color="000000" w:sz="4" w:space="0"/>
              <w:right w:val="single" w:color="000000" w:sz="4" w:space="0"/>
            </w:tcBorders>
            <w:noWrap/>
            <w:vAlign w:val="center"/>
          </w:tcPr>
          <w:p w14:paraId="01CDE8A1">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5886CD92">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LA-14</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5B467226">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低空通讯链路网建设</w:t>
            </w:r>
          </w:p>
        </w:tc>
        <w:tc>
          <w:tcPr>
            <w:tcW w:w="7730" w:type="dxa"/>
            <w:tcBorders>
              <w:top w:val="single" w:color="auto" w:sz="4" w:space="0"/>
              <w:left w:val="single" w:color="auto" w:sz="4" w:space="0"/>
              <w:bottom w:val="single" w:color="auto" w:sz="4" w:space="0"/>
              <w:right w:val="single" w:color="auto" w:sz="4" w:space="0"/>
            </w:tcBorders>
            <w:noWrap/>
            <w:vAlign w:val="top"/>
          </w:tcPr>
          <w:p w14:paraId="6CEC4C62">
            <w:pPr>
              <w:widowControl/>
              <w:jc w:val="left"/>
              <w:textAlignment w:val="center"/>
              <w:rPr>
                <w:rFonts w:hint="eastAsia" w:ascii="仿宋" w:hAnsi="仿宋" w:eastAsia="仿宋" w:cs="仿宋"/>
                <w:color w:val="000000"/>
                <w:kern w:val="0"/>
                <w:sz w:val="28"/>
                <w:szCs w:val="28"/>
                <w:lang w:bidi="ar"/>
              </w:rPr>
            </w:pPr>
            <w:r>
              <w:rPr>
                <w:rFonts w:hint="eastAsia" w:ascii="仿宋_GB2312" w:eastAsia="仿宋_GB2312"/>
                <w:sz w:val="28"/>
                <w:szCs w:val="28"/>
              </w:rPr>
              <w:t>低空运行技术路线，如何建设低时延、高稳定性通讯链路网？</w:t>
            </w:r>
          </w:p>
        </w:tc>
      </w:tr>
      <w:tr w14:paraId="61DA650D">
        <w:tblPrEx>
          <w:tblCellMar>
            <w:top w:w="0" w:type="dxa"/>
            <w:left w:w="108" w:type="dxa"/>
            <w:bottom w:w="0" w:type="dxa"/>
            <w:right w:w="108" w:type="dxa"/>
          </w:tblCellMar>
        </w:tblPrEx>
        <w:trPr>
          <w:trHeight w:val="878" w:hRule="atLeast"/>
          <w:jc w:val="center"/>
        </w:trPr>
        <w:tc>
          <w:tcPr>
            <w:tcW w:w="1203" w:type="dxa"/>
            <w:vMerge w:val="continue"/>
            <w:tcBorders>
              <w:left w:val="single" w:color="000000" w:sz="4" w:space="0"/>
              <w:right w:val="single" w:color="000000" w:sz="4" w:space="0"/>
            </w:tcBorders>
            <w:noWrap/>
            <w:vAlign w:val="center"/>
          </w:tcPr>
          <w:p w14:paraId="117BD628">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316E0AED">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LA-15</w:t>
            </w:r>
          </w:p>
        </w:tc>
        <w:tc>
          <w:tcPr>
            <w:tcW w:w="4552" w:type="dxa"/>
            <w:tcBorders>
              <w:top w:val="single" w:color="000000" w:sz="4" w:space="0"/>
              <w:left w:val="single" w:color="000000" w:sz="4" w:space="0"/>
              <w:bottom w:val="single" w:color="000000" w:sz="4" w:space="0"/>
              <w:right w:val="single" w:color="000000" w:sz="4" w:space="0"/>
            </w:tcBorders>
            <w:noWrap/>
            <w:vAlign w:val="center"/>
          </w:tcPr>
          <w:p w14:paraId="1065EDF2">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低空场景库建设</w:t>
            </w:r>
          </w:p>
        </w:tc>
        <w:tc>
          <w:tcPr>
            <w:tcW w:w="7730" w:type="dxa"/>
            <w:tcBorders>
              <w:top w:val="single" w:color="auto" w:sz="4" w:space="0"/>
              <w:left w:val="single" w:color="auto" w:sz="4" w:space="0"/>
              <w:bottom w:val="single" w:color="auto" w:sz="4" w:space="0"/>
              <w:right w:val="single" w:color="auto" w:sz="4" w:space="0"/>
            </w:tcBorders>
            <w:noWrap/>
            <w:vAlign w:val="top"/>
          </w:tcPr>
          <w:p w14:paraId="7CDC4FEE">
            <w:pPr>
              <w:widowControl/>
              <w:jc w:val="left"/>
              <w:textAlignment w:val="center"/>
              <w:rPr>
                <w:rFonts w:hint="eastAsia" w:ascii="仿宋" w:hAnsi="仿宋" w:eastAsia="仿宋" w:cs="仿宋"/>
                <w:color w:val="000000"/>
                <w:kern w:val="0"/>
                <w:sz w:val="28"/>
                <w:szCs w:val="28"/>
                <w:lang w:bidi="ar"/>
              </w:rPr>
            </w:pPr>
            <w:r>
              <w:rPr>
                <w:rFonts w:hint="eastAsia" w:ascii="仿宋_GB2312" w:eastAsia="仿宋_GB2312"/>
                <w:sz w:val="28"/>
                <w:szCs w:val="28"/>
              </w:rPr>
              <w:t>低空经济尚处于起步阶段，市场需求尚未得到充分释放，公众对低空经济的认知度较低，缺乏了解和兴趣，如何制定特色化和个性化的低空经济场景库？</w:t>
            </w:r>
          </w:p>
        </w:tc>
      </w:tr>
    </w:tbl>
    <w:p w14:paraId="096DAD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bCs/>
          <w:i w:val="0"/>
          <w:iCs w:val="0"/>
          <w:color w:val="auto"/>
          <w:kern w:val="2"/>
          <w:sz w:val="28"/>
          <w:szCs w:val="28"/>
          <w:u w:val="none"/>
          <w:lang w:val="en-US" w:eastAsia="zh-CN" w:bidi="ar-SA"/>
        </w:rPr>
      </w:pPr>
    </w:p>
    <w:p w14:paraId="2C5B731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5C345E7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052F5AC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4F5901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b/>
          <w:bCs/>
          <w:i w:val="0"/>
          <w:iCs w:val="0"/>
          <w:color w:val="auto"/>
          <w:kern w:val="2"/>
          <w:sz w:val="28"/>
          <w:szCs w:val="28"/>
          <w:u w:val="none"/>
          <w:lang w:val="en-US" w:eastAsia="zh-CN" w:bidi="ar-SA"/>
        </w:rPr>
      </w:pPr>
      <w:r>
        <w:rPr>
          <w:rFonts w:hint="eastAsia" w:ascii="仿宋" w:hAnsi="仿宋" w:eastAsia="仿宋" w:cs="仿宋"/>
          <w:b/>
          <w:bCs/>
          <w:i w:val="0"/>
          <w:iCs w:val="0"/>
          <w:color w:val="auto"/>
          <w:kern w:val="2"/>
          <w:sz w:val="28"/>
          <w:szCs w:val="28"/>
          <w:u w:val="none"/>
          <w:lang w:val="en-US" w:eastAsia="zh-CN" w:bidi="ar-SA"/>
        </w:rPr>
        <w:t>三、新型电池</w:t>
      </w:r>
    </w:p>
    <w:tbl>
      <w:tblPr>
        <w:tblStyle w:val="5"/>
        <w:tblW w:w="14688" w:type="dxa"/>
        <w:jc w:val="center"/>
        <w:tblLayout w:type="autofit"/>
        <w:tblCellMar>
          <w:top w:w="0" w:type="dxa"/>
          <w:left w:w="108" w:type="dxa"/>
          <w:bottom w:w="0" w:type="dxa"/>
          <w:right w:w="108" w:type="dxa"/>
        </w:tblCellMar>
      </w:tblPr>
      <w:tblGrid>
        <w:gridCol w:w="1203"/>
        <w:gridCol w:w="1203"/>
        <w:gridCol w:w="6141"/>
        <w:gridCol w:w="6141"/>
      </w:tblGrid>
      <w:tr w14:paraId="01BAF9A7">
        <w:tblPrEx>
          <w:tblCellMar>
            <w:top w:w="0" w:type="dxa"/>
            <w:left w:w="108" w:type="dxa"/>
            <w:bottom w:w="0" w:type="dxa"/>
            <w:right w:w="108" w:type="dxa"/>
          </w:tblCellMar>
        </w:tblPrEx>
        <w:trPr>
          <w:trHeight w:val="820" w:hRule="atLeast"/>
          <w:jc w:val="center"/>
        </w:trPr>
        <w:tc>
          <w:tcPr>
            <w:tcW w:w="1203" w:type="dxa"/>
            <w:tcBorders>
              <w:top w:val="single" w:color="000000" w:sz="4" w:space="0"/>
              <w:left w:val="single" w:color="000000" w:sz="4" w:space="0"/>
              <w:bottom w:val="single" w:color="000000" w:sz="4" w:space="0"/>
              <w:right w:val="single" w:color="000000" w:sz="4" w:space="0"/>
            </w:tcBorders>
            <w:noWrap/>
            <w:vAlign w:val="center"/>
          </w:tcPr>
          <w:p w14:paraId="1BAE7ED5">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领域</w:t>
            </w: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078286B">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编号</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49AE6539">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产业问题</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3233890B">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问题（需求）具体描述</w:t>
            </w:r>
          </w:p>
        </w:tc>
      </w:tr>
      <w:tr w14:paraId="2F11F8CB">
        <w:tblPrEx>
          <w:tblCellMar>
            <w:top w:w="0" w:type="dxa"/>
            <w:left w:w="108" w:type="dxa"/>
            <w:bottom w:w="0" w:type="dxa"/>
            <w:right w:w="108" w:type="dxa"/>
          </w:tblCellMar>
        </w:tblPrEx>
        <w:trPr>
          <w:trHeight w:val="820" w:hRule="atLeast"/>
          <w:jc w:val="center"/>
        </w:trPr>
        <w:tc>
          <w:tcPr>
            <w:tcW w:w="1203" w:type="dxa"/>
            <w:vMerge w:val="restart"/>
            <w:tcBorders>
              <w:top w:val="single" w:color="000000" w:sz="4" w:space="0"/>
              <w:left w:val="single" w:color="000000" w:sz="4" w:space="0"/>
              <w:right w:val="single" w:color="000000" w:sz="4" w:space="0"/>
            </w:tcBorders>
            <w:noWrap/>
            <w:vAlign w:val="center"/>
          </w:tcPr>
          <w:p w14:paraId="001672F4">
            <w:pPr>
              <w:widowControl/>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新型</w:t>
            </w:r>
          </w:p>
          <w:p w14:paraId="39C907B3">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电池</w:t>
            </w: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27AC4CE5">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PB-01</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9F214E3">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动力电池如何兼顾性能和成本</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0BCADDAA">
            <w:pPr>
              <w:widowControl/>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动力电池如何实现既要高低温耐受，又要能快充、安全，还要长寿命、低成本等特点？</w:t>
            </w:r>
          </w:p>
        </w:tc>
      </w:tr>
      <w:tr w14:paraId="04AF6348">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3E53EDA0">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BC45C65">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PB-02</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25D12118">
            <w:pPr>
              <w:widowControl/>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sz w:val="28"/>
                <w:szCs w:val="28"/>
              </w:rPr>
              <w:t>电芯生产一致性</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3217466A">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电芯生产一致性问题，事关电池包寿命。如何实现电池三个维度（空间、寿命、制造与装配）的一致性？</w:t>
            </w:r>
          </w:p>
        </w:tc>
      </w:tr>
      <w:tr w14:paraId="41030EC2">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31EFA754">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5AC97BBB">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PB-03</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48BF6081">
            <w:pPr>
              <w:widowControl/>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电池设计通用项</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3955495">
            <w:pPr>
              <w:widowControl/>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电池设计如何实现通用项？更好地形成行业规范以及标准化，标准化有利于提高效率和使用率，来降低整个电池产业的成本。</w:t>
            </w:r>
          </w:p>
        </w:tc>
      </w:tr>
      <w:tr w14:paraId="4E299C34">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398A6A84">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725E9139">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PB-04</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478E546A">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sz w:val="28"/>
                <w:szCs w:val="28"/>
              </w:rPr>
              <w:t>BMS无线化</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30EE60AB">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如何实现电池管理系统（BMS）的无线化，从而提高电池包整体性和安全性。</w:t>
            </w:r>
          </w:p>
        </w:tc>
      </w:tr>
      <w:tr w14:paraId="24D1D3AD">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297F1408">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75C46D7">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PB-05</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263F73AC">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sz w:val="28"/>
                <w:szCs w:val="28"/>
              </w:rPr>
              <w:t>电池材料结构稳定性</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1DB3AB51">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如何改进锂电池正极材料的生产过程，以减少极化子现象对电子导电性的负面影响，同时增强材料的结构稳定性？</w:t>
            </w:r>
          </w:p>
        </w:tc>
      </w:tr>
      <w:tr w14:paraId="5CAA04BF">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0F16AD55">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DEEBC54">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PB-06</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4989E63">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固态电池半固体电池实现难</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3C57F249">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固态电池半固体电池如何实现？针对缺乏有效导流材料的挑战，有哪些创新技术或解决方案来确保电池内部的能量在正负极之间高效流动，并实现材料的规模化生产？</w:t>
            </w:r>
          </w:p>
        </w:tc>
      </w:tr>
      <w:tr w14:paraId="250773C5">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2431EB54">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33646DE9">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PB-07</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1AF653B8">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电池供应链质量稳定性</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0AEBFAFA">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如何监控和优化供应链中各个环节的稳定性和质量控制，以提升最终用户的电池使用体验？</w:t>
            </w:r>
          </w:p>
        </w:tc>
      </w:tr>
      <w:tr w14:paraId="14ECE0B2">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6E5FE5EC">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6FEF540">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PB-08</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230BABC1">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动力电池降本增效</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FFA10CE">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在新能源汽车时代，主机厂如何平衡自主研发电池与采购外部电池解决方案的成本效益？</w:t>
            </w:r>
          </w:p>
        </w:tc>
      </w:tr>
      <w:tr w14:paraId="2BB26471">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17C45B9B">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20C6B9F">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PB-09</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43C0FAF0">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动力电池出海</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7B0A79F">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新能源车出海是否带动动力电池产业链出海，如何出海？</w:t>
            </w:r>
          </w:p>
        </w:tc>
      </w:tr>
      <w:tr w14:paraId="08D98C08">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70221A6A">
            <w:pPr>
              <w:widowControl/>
              <w:jc w:val="center"/>
              <w:textAlignment w:val="center"/>
              <w:rPr>
                <w:rFonts w:hint="eastAsia" w:ascii="仿宋" w:hAnsi="仿宋" w:eastAsia="仿宋" w:cs="仿宋"/>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69EEB69">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PB-10</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592A5B32">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车电分离解决方案</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1D4EB102">
            <w:pPr>
              <w:widowControl/>
              <w:jc w:val="left"/>
              <w:textAlignment w:val="center"/>
              <w:rPr>
                <w:rFonts w:hint="eastAsia" w:ascii="仿宋" w:hAnsi="仿宋" w:eastAsia="仿宋" w:cs="仿宋"/>
                <w:color w:val="000000"/>
                <w:kern w:val="2"/>
                <w:sz w:val="28"/>
                <w:szCs w:val="28"/>
                <w:lang w:val="en-US" w:eastAsia="zh-CN" w:bidi="ar-SA"/>
              </w:rPr>
            </w:pPr>
            <w:r>
              <w:rPr>
                <w:rFonts w:ascii="仿宋" w:hAnsi="仿宋" w:eastAsia="仿宋" w:cs="仿宋"/>
                <w:color w:val="000000"/>
                <w:sz w:val="28"/>
                <w:szCs w:val="28"/>
              </w:rPr>
              <w:t>着动力电池回收产业的发展，车电分离模式也有助于提高电池的循环利用率，减少资源浪费</w:t>
            </w:r>
            <w:r>
              <w:rPr>
                <w:rFonts w:hint="eastAsia" w:ascii="仿宋" w:hAnsi="仿宋" w:eastAsia="仿宋" w:cs="仿宋"/>
                <w:color w:val="000000"/>
                <w:sz w:val="28"/>
                <w:szCs w:val="28"/>
              </w:rPr>
              <w:t>。车电分离模式如何形成解决方案的闭环？</w:t>
            </w:r>
          </w:p>
        </w:tc>
      </w:tr>
      <w:tr w14:paraId="1C2913F9">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7C208A6B">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35BDCB71">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PB-11</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67D1C055">
            <w:pPr>
              <w:widowControl/>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sz w:val="28"/>
                <w:szCs w:val="28"/>
              </w:rPr>
              <w:t>电池回收白名单无用</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619C05F">
            <w:pPr>
              <w:widowControl/>
              <w:jc w:val="left"/>
              <w:textAlignment w:val="center"/>
              <w:rPr>
                <w:rFonts w:hint="eastAsia" w:ascii="仿宋" w:hAnsi="仿宋" w:eastAsia="仿宋" w:cs="仿宋"/>
                <w:color w:val="000000"/>
                <w:kern w:val="2"/>
                <w:sz w:val="28"/>
                <w:szCs w:val="28"/>
                <w:lang w:val="en-US" w:eastAsia="zh-CN" w:bidi="ar-SA"/>
              </w:rPr>
            </w:pPr>
            <w:r>
              <w:rPr>
                <w:rFonts w:ascii="仿宋" w:hAnsi="仿宋" w:eastAsia="仿宋" w:cs="仿宋"/>
                <w:color w:val="000000"/>
                <w:sz w:val="28"/>
                <w:szCs w:val="28"/>
              </w:rPr>
              <w:t>电池回收白名单制度的建立旨在规范动力电池回收行业，确保参与企业在技术、环保和安全方面达到一定标准。然而，</w:t>
            </w:r>
            <w:r>
              <w:rPr>
                <w:rFonts w:hint="eastAsia" w:ascii="仿宋" w:hAnsi="仿宋" w:eastAsia="仿宋" w:cs="仿宋"/>
                <w:color w:val="000000"/>
                <w:sz w:val="28"/>
                <w:szCs w:val="28"/>
              </w:rPr>
              <w:t>一些非白名单企业仍然在搅局市场，导致市场非正当竞争。如何实现白名单企业效用，实现市场安全有序竞争。</w:t>
            </w:r>
          </w:p>
        </w:tc>
      </w:tr>
      <w:tr w14:paraId="1512A07D">
        <w:tblPrEx>
          <w:tblCellMar>
            <w:top w:w="0" w:type="dxa"/>
            <w:left w:w="108" w:type="dxa"/>
            <w:bottom w:w="0" w:type="dxa"/>
            <w:right w:w="108" w:type="dxa"/>
          </w:tblCellMar>
        </w:tblPrEx>
        <w:trPr>
          <w:trHeight w:val="900" w:hRule="atLeast"/>
          <w:jc w:val="center"/>
        </w:trPr>
        <w:tc>
          <w:tcPr>
            <w:tcW w:w="1203" w:type="dxa"/>
            <w:vMerge w:val="continue"/>
            <w:tcBorders>
              <w:left w:val="single" w:color="000000" w:sz="4" w:space="0"/>
              <w:right w:val="single" w:color="000000" w:sz="4" w:space="0"/>
            </w:tcBorders>
            <w:noWrap/>
            <w:vAlign w:val="center"/>
          </w:tcPr>
          <w:p w14:paraId="3912F110">
            <w:pPr>
              <w:widowControl/>
              <w:jc w:val="center"/>
              <w:textAlignment w:val="center"/>
              <w:rPr>
                <w:rFonts w:hint="eastAsia" w:ascii="仿宋" w:hAnsi="仿宋" w:eastAsia="仿宋" w:cs="仿宋"/>
                <w:color w:val="000000"/>
                <w:sz w:val="28"/>
                <w:szCs w:val="28"/>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7C9F241">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PB-12</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6555B61C">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电池回收主体责任落地</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A37CC69">
            <w:pPr>
              <w:widowControl/>
              <w:jc w:val="left"/>
              <w:textAlignment w:val="center"/>
              <w:rPr>
                <w:rFonts w:hint="eastAsia" w:ascii="仿宋" w:hAnsi="仿宋" w:eastAsia="仿宋" w:cs="仿宋"/>
                <w:color w:val="000000"/>
                <w:kern w:val="2"/>
                <w:sz w:val="28"/>
                <w:szCs w:val="28"/>
                <w:lang w:val="en-US" w:eastAsia="zh-CN" w:bidi="ar-SA"/>
              </w:rPr>
            </w:pPr>
            <w:r>
              <w:rPr>
                <w:rFonts w:ascii="仿宋" w:hAnsi="仿宋" w:eastAsia="仿宋" w:cs="仿宋"/>
                <w:color w:val="000000"/>
                <w:sz w:val="28"/>
                <w:szCs w:val="28"/>
              </w:rPr>
              <w:t>根据相关政策规定，汽车生产企业需要承担起动力电池回收的主体责任，这包括建立废旧动力电池的回收体系，并以自建或委托的方式进行回收利用。电池回收行业还面临一些挑战，如废旧电池数量低于预期、产业链内各参与方数据信息共享不畅通、电池残值量测量标准不统一等问题。因此，需要整个行业形成合力，通过技术创新和政策引导，共同推动电池回收主体责任的有效落实。</w:t>
            </w:r>
          </w:p>
        </w:tc>
      </w:tr>
      <w:tr w14:paraId="57CF2D1D">
        <w:tblPrEx>
          <w:tblCellMar>
            <w:top w:w="0" w:type="dxa"/>
            <w:left w:w="108" w:type="dxa"/>
            <w:bottom w:w="0" w:type="dxa"/>
            <w:right w:w="108" w:type="dxa"/>
          </w:tblCellMar>
        </w:tblPrEx>
        <w:trPr>
          <w:trHeight w:val="879" w:hRule="atLeast"/>
          <w:jc w:val="center"/>
        </w:trPr>
        <w:tc>
          <w:tcPr>
            <w:tcW w:w="1203" w:type="dxa"/>
            <w:vMerge w:val="continue"/>
            <w:tcBorders>
              <w:left w:val="single" w:color="000000" w:sz="4" w:space="0"/>
              <w:right w:val="single" w:color="000000" w:sz="4" w:space="0"/>
            </w:tcBorders>
            <w:noWrap/>
            <w:vAlign w:val="center"/>
          </w:tcPr>
          <w:p w14:paraId="5F0D2671">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3742832">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PB-13</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203C0688">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sz w:val="28"/>
                <w:szCs w:val="28"/>
              </w:rPr>
              <w:t>电池拆解自动化</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7DDA2561">
            <w:pPr>
              <w:widowControl/>
              <w:jc w:val="left"/>
              <w:textAlignment w:val="center"/>
              <w:rPr>
                <w:rFonts w:hint="eastAsia" w:ascii="仿宋" w:hAnsi="仿宋" w:eastAsia="仿宋" w:cs="仿宋"/>
                <w:kern w:val="2"/>
                <w:sz w:val="28"/>
                <w:szCs w:val="28"/>
                <w:lang w:val="en-US" w:eastAsia="zh-CN" w:bidi="ar-SA"/>
              </w:rPr>
            </w:pPr>
            <w:r>
              <w:rPr>
                <w:rFonts w:ascii="仿宋" w:hAnsi="仿宋" w:eastAsia="仿宋" w:cs="仿宋"/>
                <w:sz w:val="28"/>
                <w:szCs w:val="28"/>
              </w:rPr>
              <w:t>电池拆解自动化是提高电池回收效率和安全性的关键技术方向</w:t>
            </w:r>
            <w:r>
              <w:rPr>
                <w:rFonts w:hint="eastAsia" w:ascii="仿宋" w:hAnsi="仿宋" w:eastAsia="仿宋" w:cs="仿宋"/>
                <w:sz w:val="28"/>
                <w:szCs w:val="28"/>
              </w:rPr>
              <w:t>，如何提高电池回收拆解的自动化程度？</w:t>
            </w:r>
          </w:p>
        </w:tc>
      </w:tr>
      <w:tr w14:paraId="7873327C">
        <w:tblPrEx>
          <w:tblCellMar>
            <w:top w:w="0" w:type="dxa"/>
            <w:left w:w="108" w:type="dxa"/>
            <w:bottom w:w="0" w:type="dxa"/>
            <w:right w:w="108" w:type="dxa"/>
          </w:tblCellMar>
        </w:tblPrEx>
        <w:trPr>
          <w:trHeight w:val="879" w:hRule="atLeast"/>
          <w:jc w:val="center"/>
        </w:trPr>
        <w:tc>
          <w:tcPr>
            <w:tcW w:w="1203" w:type="dxa"/>
            <w:vMerge w:val="continue"/>
            <w:tcBorders>
              <w:left w:val="single" w:color="000000" w:sz="4" w:space="0"/>
              <w:right w:val="single" w:color="000000" w:sz="4" w:space="0"/>
            </w:tcBorders>
            <w:noWrap/>
            <w:vAlign w:val="center"/>
          </w:tcPr>
          <w:p w14:paraId="12EE660C">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532DD84A">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PB-14</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4C0FCA33">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动力电池梯次利用</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50DC20A0">
            <w:pPr>
              <w:widowControl/>
              <w:jc w:val="left"/>
              <w:textAlignment w:val="center"/>
              <w:rPr>
                <w:rFonts w:hint="eastAsia" w:ascii="仿宋" w:hAnsi="仿宋" w:eastAsia="仿宋" w:cs="仿宋"/>
                <w:kern w:val="2"/>
                <w:sz w:val="28"/>
                <w:szCs w:val="28"/>
                <w:lang w:val="en-US" w:eastAsia="zh-CN" w:bidi="ar-SA"/>
              </w:rPr>
            </w:pPr>
            <w:r>
              <w:rPr>
                <w:rFonts w:ascii="仿宋" w:hAnsi="仿宋" w:eastAsia="仿宋" w:cs="仿宋"/>
                <w:sz w:val="28"/>
                <w:szCs w:val="28"/>
              </w:rPr>
              <w:t>动力电池的梯次利用是新能源汽车动力电池回收利用的重要环节，它涉及将退役电池通过检测、筛选、重组和均衡后，重新应用于其他领域的过程。这一策略不仅可以延长电池的使用寿命，减少资源浪费，还能降低对环境的影响，并实现经济效益的最大化</w:t>
            </w:r>
          </w:p>
        </w:tc>
      </w:tr>
      <w:tr w14:paraId="2331D88F">
        <w:tblPrEx>
          <w:tblCellMar>
            <w:top w:w="0" w:type="dxa"/>
            <w:left w:w="108" w:type="dxa"/>
            <w:bottom w:w="0" w:type="dxa"/>
            <w:right w:w="108" w:type="dxa"/>
          </w:tblCellMar>
        </w:tblPrEx>
        <w:trPr>
          <w:trHeight w:val="878" w:hRule="atLeast"/>
          <w:jc w:val="center"/>
        </w:trPr>
        <w:tc>
          <w:tcPr>
            <w:tcW w:w="1203" w:type="dxa"/>
            <w:vMerge w:val="continue"/>
            <w:tcBorders>
              <w:left w:val="single" w:color="000000" w:sz="4" w:space="0"/>
              <w:right w:val="single" w:color="000000" w:sz="4" w:space="0"/>
            </w:tcBorders>
            <w:noWrap/>
            <w:vAlign w:val="center"/>
          </w:tcPr>
          <w:p w14:paraId="3BE8A17E">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26BC6062">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PB-15</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0373ED2A">
            <w:pPr>
              <w:widowControl/>
              <w:jc w:val="left"/>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电池回收成本降低</w:t>
            </w:r>
          </w:p>
        </w:tc>
        <w:tc>
          <w:tcPr>
            <w:tcW w:w="6141" w:type="dxa"/>
            <w:tcBorders>
              <w:top w:val="single" w:color="000000" w:sz="4" w:space="0"/>
              <w:left w:val="single" w:color="000000" w:sz="4" w:space="0"/>
              <w:bottom w:val="single" w:color="000000" w:sz="4" w:space="0"/>
              <w:right w:val="single" w:color="000000" w:sz="4" w:space="0"/>
            </w:tcBorders>
            <w:noWrap/>
            <w:vAlign w:val="center"/>
          </w:tcPr>
          <w:p w14:paraId="15F3C2B9">
            <w:pPr>
              <w:widowControl/>
              <w:jc w:val="left"/>
              <w:textAlignment w:val="center"/>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bidi="ar"/>
              </w:rPr>
              <w:t>电池回收成本的降低是通过一系列创新措施和优化流程实现的，这些措施包括改进回收技术、提高回收效率、增加回收规模经济效应以及政策支持等。</w:t>
            </w:r>
          </w:p>
        </w:tc>
      </w:tr>
    </w:tbl>
    <w:p w14:paraId="3E8D62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bCs/>
          <w:i w:val="0"/>
          <w:iCs w:val="0"/>
          <w:color w:val="auto"/>
          <w:kern w:val="2"/>
          <w:sz w:val="28"/>
          <w:szCs w:val="28"/>
          <w:u w:val="none"/>
          <w:lang w:val="en-US" w:eastAsia="zh-CN" w:bidi="ar-SA"/>
        </w:rPr>
      </w:pPr>
    </w:p>
    <w:p w14:paraId="709B252F">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1F18D522">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22E30C56">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042AB1F0">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040EDA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bCs/>
          <w:i w:val="0"/>
          <w:iCs w:val="0"/>
          <w:color w:val="auto"/>
          <w:kern w:val="2"/>
          <w:sz w:val="28"/>
          <w:szCs w:val="28"/>
          <w:u w:val="none"/>
          <w:lang w:val="en-US" w:eastAsia="zh-CN" w:bidi="ar-SA"/>
        </w:rPr>
      </w:pPr>
      <w:r>
        <w:rPr>
          <w:rFonts w:hint="eastAsia" w:ascii="仿宋" w:hAnsi="仿宋" w:eastAsia="仿宋" w:cs="仿宋"/>
          <w:b/>
          <w:bCs/>
          <w:i w:val="0"/>
          <w:iCs w:val="0"/>
          <w:color w:val="auto"/>
          <w:kern w:val="2"/>
          <w:sz w:val="28"/>
          <w:szCs w:val="28"/>
          <w:u w:val="none"/>
          <w:lang w:val="en-US" w:eastAsia="zh-CN" w:bidi="ar-SA"/>
        </w:rPr>
        <w:t>四、生物育种</w:t>
      </w:r>
    </w:p>
    <w:tbl>
      <w:tblPr>
        <w:tblStyle w:val="5"/>
        <w:tblW w:w="14688" w:type="dxa"/>
        <w:jc w:val="center"/>
        <w:tblLayout w:type="fixed"/>
        <w:tblCellMar>
          <w:top w:w="0" w:type="dxa"/>
          <w:left w:w="108" w:type="dxa"/>
          <w:bottom w:w="0" w:type="dxa"/>
          <w:right w:w="108" w:type="dxa"/>
        </w:tblCellMar>
      </w:tblPr>
      <w:tblGrid>
        <w:gridCol w:w="1203"/>
        <w:gridCol w:w="1203"/>
        <w:gridCol w:w="2786"/>
        <w:gridCol w:w="9496"/>
      </w:tblGrid>
      <w:tr w14:paraId="4A4F5D67">
        <w:tblPrEx>
          <w:tblCellMar>
            <w:top w:w="0" w:type="dxa"/>
            <w:left w:w="108" w:type="dxa"/>
            <w:bottom w:w="0" w:type="dxa"/>
            <w:right w:w="108" w:type="dxa"/>
          </w:tblCellMar>
        </w:tblPrEx>
        <w:trPr>
          <w:trHeight w:val="820" w:hRule="atLeast"/>
          <w:jc w:val="center"/>
        </w:trPr>
        <w:tc>
          <w:tcPr>
            <w:tcW w:w="1203" w:type="dxa"/>
            <w:tcBorders>
              <w:top w:val="single" w:color="000000" w:sz="4" w:space="0"/>
              <w:left w:val="single" w:color="000000" w:sz="4" w:space="0"/>
              <w:bottom w:val="single" w:color="000000" w:sz="4" w:space="0"/>
              <w:right w:val="single" w:color="000000" w:sz="4" w:space="0"/>
            </w:tcBorders>
            <w:noWrap/>
            <w:vAlign w:val="center"/>
          </w:tcPr>
          <w:p w14:paraId="32E4BBD7">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领域</w:t>
            </w: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1208D1C2">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编号</w:t>
            </w:r>
          </w:p>
        </w:tc>
        <w:tc>
          <w:tcPr>
            <w:tcW w:w="2786" w:type="dxa"/>
            <w:tcBorders>
              <w:top w:val="single" w:color="000000" w:sz="4" w:space="0"/>
              <w:left w:val="single" w:color="000000" w:sz="4" w:space="0"/>
              <w:bottom w:val="single" w:color="000000" w:sz="4" w:space="0"/>
              <w:right w:val="single" w:color="000000" w:sz="4" w:space="0"/>
            </w:tcBorders>
            <w:noWrap/>
            <w:vAlign w:val="center"/>
          </w:tcPr>
          <w:p w14:paraId="23CEDF47">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产业问题</w:t>
            </w:r>
          </w:p>
        </w:tc>
        <w:tc>
          <w:tcPr>
            <w:tcW w:w="9496" w:type="dxa"/>
            <w:tcBorders>
              <w:top w:val="single" w:color="000000" w:sz="4" w:space="0"/>
              <w:left w:val="single" w:color="000000" w:sz="4" w:space="0"/>
              <w:bottom w:val="single" w:color="000000" w:sz="4" w:space="0"/>
              <w:right w:val="single" w:color="000000" w:sz="4" w:space="0"/>
            </w:tcBorders>
            <w:noWrap/>
            <w:vAlign w:val="center"/>
          </w:tcPr>
          <w:p w14:paraId="17B9894A">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问题（需求）具体描述</w:t>
            </w:r>
          </w:p>
        </w:tc>
      </w:tr>
      <w:tr w14:paraId="2E196005">
        <w:tblPrEx>
          <w:tblCellMar>
            <w:top w:w="0" w:type="dxa"/>
            <w:left w:w="108" w:type="dxa"/>
            <w:bottom w:w="0" w:type="dxa"/>
            <w:right w:w="108" w:type="dxa"/>
          </w:tblCellMar>
        </w:tblPrEx>
        <w:trPr>
          <w:trHeight w:val="3332" w:hRule="atLeast"/>
          <w:jc w:val="center"/>
        </w:trPr>
        <w:tc>
          <w:tcPr>
            <w:tcW w:w="1203" w:type="dxa"/>
            <w:vMerge w:val="restart"/>
            <w:tcBorders>
              <w:top w:val="single" w:color="000000" w:sz="4" w:space="0"/>
              <w:left w:val="single" w:color="000000" w:sz="4" w:space="0"/>
              <w:right w:val="single" w:color="000000" w:sz="4" w:space="0"/>
            </w:tcBorders>
            <w:shd w:val="clear" w:color="auto" w:fill="FFFFFF"/>
            <w:noWrap/>
            <w:vAlign w:val="center"/>
          </w:tcPr>
          <w:p w14:paraId="6B507FC2">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生物</w:t>
            </w:r>
          </w:p>
          <w:p w14:paraId="775050BD">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育种</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19D87">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BB-01</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91DF3">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企业可商业化使用的优异种质资源不足</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DC39">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我国是种质资源大国，种质资源保存量占世界第二，但并不是种质资源强国。目前，大多数种质资源都集中在科研院所，且存在较高的同质化现象。受知识产权保护、法律限制以及共享机制不足等因素，企业在进行商业化育种时难以便捷地获取所需的优异种质资源。为了提升科技创新能力，企业亟须从国外引入更多优质种质资源，丰富我国种质资源多样性，加快种质资源鉴定与开发，创制出可商业化试用的优异种质资源，进一步助推我国商业化育种研发体系的建立和完善。</w:t>
            </w:r>
          </w:p>
        </w:tc>
      </w:tr>
      <w:tr w14:paraId="387730EA">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10B5534D">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82D7">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BB-02</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FC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sz w:val="28"/>
                <w:szCs w:val="28"/>
                <w:lang w:val="en-US" w:eastAsia="zh-CN"/>
              </w:rPr>
              <w:t>优异种质资源和关键性状基因挖掘与鉴定不足</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7756">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作为农作物种质资源大国，我国深度鉴定评价的种质资源不足10%，严重限制了种质资源在育种创新中的创新应用。因此亟须联合国内优势单位，采用现代高通量精准表型鉴定、基因型检测、功能基因挖掘、分子标记辅助育种以及人工智能等先进技术，开展更为精准的种质资源鉴定和基因挖掘工作，以提升种质资源的保护利用效率。</w:t>
            </w:r>
          </w:p>
        </w:tc>
      </w:tr>
      <w:tr w14:paraId="07D22105">
        <w:tblPrEx>
          <w:tblCellMar>
            <w:top w:w="0" w:type="dxa"/>
            <w:left w:w="108" w:type="dxa"/>
            <w:bottom w:w="0" w:type="dxa"/>
            <w:right w:w="108" w:type="dxa"/>
          </w:tblCellMar>
        </w:tblPrEx>
        <w:trPr>
          <w:trHeight w:val="85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4591B85B">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BC56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BB-03</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D3CD9">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种质资源共享利用效率低</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EB431">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种质资源是品种创新的关键。当前我国种质资源丰富，企业、科研院所、育种家均积累了一定数量的种质资源，</w:t>
            </w:r>
            <w:r>
              <w:rPr>
                <w:rFonts w:hint="eastAsia" w:ascii="仿宋" w:hAnsi="仿宋" w:eastAsia="仿宋" w:cs="仿宋"/>
                <w:sz w:val="28"/>
                <w:szCs w:val="28"/>
                <w:lang w:val="en-US" w:eastAsia="zh-CN"/>
              </w:rPr>
              <w:t>但由于缺乏有效的沟通机制和共享平台，不同地区、不同研究机构和企业之间存在信息壁垒，造成收集的资源种类不全、‌各单位重复保存的情况，难以实现种质资源信息的及时传递和交流。同时，在种质资源的共享过程中，由于缺乏统一的标准和规范，存在数据格式不一致、质量参差不齐等问题，这增加了资源利用的难度和成本。因此需要加强顶层设计，开发种质资源共享交流机制与平台，提升利用效率。</w:t>
            </w:r>
          </w:p>
        </w:tc>
      </w:tr>
      <w:tr w14:paraId="3509672A">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6FA5D35C">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F913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BB-04</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1E25">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sz w:val="28"/>
                <w:szCs w:val="28"/>
                <w:u w:val="none"/>
                <w:lang w:val="en-US"/>
              </w:rPr>
              <w:t>种质资源</w:t>
            </w:r>
            <w:r>
              <w:rPr>
                <w:rFonts w:hint="eastAsia" w:ascii="仿宋" w:hAnsi="仿宋" w:eastAsia="仿宋" w:cs="仿宋"/>
                <w:i w:val="0"/>
                <w:iCs w:val="0"/>
                <w:color w:val="000000"/>
                <w:sz w:val="28"/>
                <w:szCs w:val="28"/>
                <w:u w:val="none"/>
                <w:lang w:val="en-US" w:eastAsia="zh-CN"/>
              </w:rPr>
              <w:t>长期</w:t>
            </w:r>
            <w:r>
              <w:rPr>
                <w:rFonts w:hint="eastAsia" w:ascii="仿宋" w:hAnsi="仿宋" w:eastAsia="仿宋" w:cs="仿宋"/>
                <w:i w:val="0"/>
                <w:iCs w:val="0"/>
                <w:color w:val="000000"/>
                <w:sz w:val="28"/>
                <w:szCs w:val="28"/>
                <w:u w:val="none"/>
                <w:lang w:val="en-US"/>
              </w:rPr>
              <w:t>保存管理困难</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F78C4">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种质资源的有效保存依赖于精准控制的环境条件，如温度、湿度和光照等，这通常需要大量的资金投入以建立和维护高标准的种质资源库。同时，种质资源在日常使用、长期保存和管理方面缺少明确的制度和管理规范，也会造成管理效率低下及资源损失等问题。为了解决这些问题，迫切需要开发一个综合性的种质资源管理系统、制定和执行严格的操作规程和质量控制标准，以提高管理效率和保障资源安全，确保种质资源的长期稳定性和可用性。</w:t>
            </w:r>
          </w:p>
        </w:tc>
      </w:tr>
      <w:tr w14:paraId="266456C5">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27C56D81">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B67B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BB-05</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0B5F">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sz w:val="28"/>
                <w:szCs w:val="28"/>
                <w:lang w:val="en-US" w:eastAsia="zh-CN"/>
              </w:rPr>
              <w:t>缺少可高效使用的自主知识产权基因编辑工具</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39FB">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基因编辑是农业生物育种领域的一项颠覆性技术，将从根本上改变传统育种模式。然而，基因编辑技术的核心是底盘核酸酶，核酸酶的原始核心专利被美国等少数国家所垄断。因此，我国农业生物基因编辑技术在产业化方面有受制于人的风险，必须研发出具有我国自主知识产权的核酸酶，打破国际专利垄断。</w:t>
            </w:r>
          </w:p>
        </w:tc>
      </w:tr>
      <w:tr w14:paraId="24B212B9">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032BB149">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F3181">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BB-06</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5ED48">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缺乏不依赖基因型的基因编辑递送技术</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E9CD">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基因编辑技术通过精确修改植物基因组中的特定基因，实现对作物性状、产量、抗性等的定向改良，已成为现代育种的关键核心技术。然而，需要将关键基因或基因编辑工具通过有效的基因递送系统送入作物特定细胞中发挥功能，才能产生可遗传的定向改良。现有的基因递送方法，如农杆菌介导和基因枪轰击，不仅操作复杂、周期长，而且对植物基因型有严格要求，导致许多植物难以实现遗传改良。因此，开发不依赖基因型的基因编辑递送技术，对于推动作物育种的进步至关重要。</w:t>
            </w:r>
          </w:p>
        </w:tc>
      </w:tr>
      <w:tr w14:paraId="75EAA270">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0439DDD1">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FB4D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BB-07</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75F5F">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缺乏适宜高密度种植的玉米品种</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B6CA">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玉米是世界第一大粮食作物，也是重要的饲料作物，其生产潜力大、经济效益高，具有食用、饲用和多种工业用途，在保障粮食安全方面具有重要战略地位。种植密度的不断增加是玉米单产水平持续提升的关键因素之一。美国玉米种植密度普遍超过6000株/亩，而我国仅为4000株/亩，差距明显。因此，发掘和利用耐密高产基因、培育耐密高产品种是提高我国玉米单产水平的重要途径。</w:t>
            </w:r>
          </w:p>
        </w:tc>
      </w:tr>
      <w:tr w14:paraId="4A9EC3B9">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17C10967">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A65D7">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BB-08</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35733">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缺乏具有复合抗性的转基因玉米新品种</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D4650">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玉米是我国重要的粮食作物和饲料作物，虫害和杂草防治是玉米生产面临的重大瓶颈问题。自1996年国外转基因抗虫耐除草剂玉米商业化应用以来，有效控制了玉米螟和草地贪夜蛾等鳞翅目害虫的危害。对全球240个转基因玉米转化事件分析发现，同时包含抗虫和耐除草剂这2种性状的转化体占79%，这表明复合抗性的转基因玉米逐渐受到青睐。而我国生物育种产业化进程起步相对略晚，为满足国内农业生产需求，保障粮食安全，培育抗虫、抗除草剂转基因玉米新种质的需求日益迫切。</w:t>
            </w:r>
          </w:p>
        </w:tc>
      </w:tr>
      <w:tr w14:paraId="1999B2DA">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3D20A249">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7ADF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BB-09</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8772F">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缺少商业化应用的玉米雄性不育制种技术</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C568B">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雄性不育杂交制种技术是杂交作物的一项颠覆性技术，将从根本上改变作物杂交制种的方式。水稻三系法制种和两系法制种的应用，大大降低了水稻杂交制种的成本，提高了制种质量，为水稻杂交种的大面积推广奠定了基础。然而，玉米目前缺少商业化应用的杂交制种技术，先锋公司2016年开发的基于隐性雄性不育基因及红色荧光报告基因等的玉米一系法杂交制种技术，由于目前基于颜色的种子分选仪最高分辨率只有99.99%，即有万分之一的错误率，使得该制种技术很难应用到玉米的杂交制种中。因此，</w:t>
            </w:r>
            <w:r>
              <w:rPr>
                <w:rFonts w:hint="eastAsia" w:ascii="仿宋" w:hAnsi="仿宋" w:eastAsia="仿宋" w:cs="仿宋"/>
                <w:sz w:val="28"/>
                <w:szCs w:val="28"/>
                <w:lang w:val="en-US" w:eastAsia="zh-CN"/>
              </w:rPr>
              <w:t>亟需</w:t>
            </w:r>
            <w:r>
              <w:rPr>
                <w:rFonts w:hint="eastAsia" w:ascii="仿宋" w:hAnsi="仿宋" w:eastAsia="仿宋" w:cs="仿宋"/>
                <w:sz w:val="28"/>
                <w:szCs w:val="28"/>
              </w:rPr>
              <w:t>开发出能100%区分不育系和保持系的能应用的玉米新型杂交制种技术。</w:t>
            </w:r>
          </w:p>
        </w:tc>
      </w:tr>
      <w:tr w14:paraId="1C9A6236">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0B95E44C">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9FC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BB-09</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1ABD9">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缺乏高效大通量快速获得纯系的通用技术</w:t>
            </w:r>
          </w:p>
        </w:tc>
        <w:tc>
          <w:tcPr>
            <w:tcW w:w="9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5864D">
            <w:pPr>
              <w:keepNext w:val="0"/>
              <w:keepLines w:val="0"/>
              <w:widowControl/>
              <w:suppressLineNumbers w:val="0"/>
              <w:jc w:val="both"/>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kern w:val="2"/>
                <w:sz w:val="28"/>
                <w:szCs w:val="28"/>
                <w:u w:val="none"/>
                <w:lang w:val="en-US" w:eastAsia="zh-CN" w:bidi="ar-SA"/>
              </w:rPr>
              <w:t>当前，单倍体育种技术凭借能显著缩短育种周期的优势，已成为作物育种的关键技术之一。然而，不同作物的单倍体育种技术存在依赖特定材料背景的特性，这在很大程度上限制了</w:t>
            </w:r>
            <w:r>
              <w:rPr>
                <w:rFonts w:hint="eastAsia" w:ascii="仿宋" w:hAnsi="仿宋" w:eastAsia="仿宋" w:cs="仿宋"/>
                <w:i w:val="0"/>
                <w:iCs w:val="0"/>
                <w:color w:val="000000"/>
                <w:kern w:val="2"/>
                <w:sz w:val="28"/>
                <w:szCs w:val="28"/>
                <w:u w:val="none"/>
                <w:lang w:val="en-US" w:eastAsia="zh-CN" w:bidi="ar-SA"/>
              </w:rPr>
              <w:t>单倍体育种技术的</w:t>
            </w:r>
            <w:r>
              <w:rPr>
                <w:rFonts w:hint="default" w:ascii="仿宋" w:hAnsi="仿宋" w:eastAsia="仿宋" w:cs="仿宋"/>
                <w:i w:val="0"/>
                <w:iCs w:val="0"/>
                <w:color w:val="000000"/>
                <w:kern w:val="2"/>
                <w:sz w:val="28"/>
                <w:szCs w:val="28"/>
                <w:u w:val="none"/>
                <w:lang w:val="en-US" w:eastAsia="zh-CN" w:bidi="ar-SA"/>
              </w:rPr>
              <w:t>规模化应用。此外，传统的单倍体技术还存在诱导效率低</w:t>
            </w:r>
            <w:r>
              <w:rPr>
                <w:rFonts w:hint="eastAsia" w:ascii="仿宋" w:hAnsi="仿宋" w:eastAsia="仿宋" w:cs="仿宋"/>
                <w:i w:val="0"/>
                <w:iCs w:val="0"/>
                <w:color w:val="000000"/>
                <w:kern w:val="2"/>
                <w:sz w:val="28"/>
                <w:szCs w:val="28"/>
                <w:u w:val="none"/>
                <w:lang w:val="en-US" w:eastAsia="zh-CN" w:bidi="ar-SA"/>
              </w:rPr>
              <w:t>、</w:t>
            </w:r>
            <w:r>
              <w:rPr>
                <w:rFonts w:hint="default" w:ascii="仿宋" w:hAnsi="仿宋" w:eastAsia="仿宋" w:cs="仿宋"/>
                <w:i w:val="0"/>
                <w:iCs w:val="0"/>
                <w:color w:val="000000"/>
                <w:kern w:val="2"/>
                <w:sz w:val="28"/>
                <w:szCs w:val="28"/>
                <w:u w:val="none"/>
                <w:lang w:val="en-US" w:eastAsia="zh-CN" w:bidi="ar-SA"/>
              </w:rPr>
              <w:t>难以获得足够数量的单倍体</w:t>
            </w:r>
            <w:r>
              <w:rPr>
                <w:rFonts w:hint="eastAsia" w:ascii="仿宋" w:hAnsi="仿宋" w:eastAsia="仿宋" w:cs="仿宋"/>
                <w:i w:val="0"/>
                <w:iCs w:val="0"/>
                <w:color w:val="000000"/>
                <w:kern w:val="2"/>
                <w:sz w:val="28"/>
                <w:szCs w:val="28"/>
                <w:u w:val="none"/>
                <w:lang w:val="en-US" w:eastAsia="zh-CN" w:bidi="ar-SA"/>
              </w:rPr>
              <w:t>、</w:t>
            </w:r>
            <w:r>
              <w:rPr>
                <w:rFonts w:hint="default" w:ascii="仿宋" w:hAnsi="仿宋" w:eastAsia="仿宋" w:cs="仿宋"/>
                <w:i w:val="0"/>
                <w:iCs w:val="0"/>
                <w:color w:val="000000"/>
                <w:kern w:val="2"/>
                <w:sz w:val="28"/>
                <w:szCs w:val="28"/>
                <w:u w:val="none"/>
                <w:lang w:val="en-US" w:eastAsia="zh-CN" w:bidi="ar-SA"/>
              </w:rPr>
              <w:t>单倍体鉴别不准确</w:t>
            </w:r>
            <w:r>
              <w:rPr>
                <w:rFonts w:hint="eastAsia" w:ascii="仿宋" w:hAnsi="仿宋" w:eastAsia="仿宋" w:cs="仿宋"/>
                <w:i w:val="0"/>
                <w:iCs w:val="0"/>
                <w:color w:val="000000"/>
                <w:kern w:val="2"/>
                <w:sz w:val="28"/>
                <w:szCs w:val="28"/>
                <w:u w:val="none"/>
                <w:lang w:val="en-US" w:eastAsia="zh-CN" w:bidi="ar-SA"/>
              </w:rPr>
              <w:t>、</w:t>
            </w:r>
            <w:r>
              <w:rPr>
                <w:rFonts w:hint="default" w:ascii="仿宋" w:hAnsi="仿宋" w:eastAsia="仿宋" w:cs="仿宋"/>
                <w:i w:val="0"/>
                <w:iCs w:val="0"/>
                <w:color w:val="000000"/>
                <w:kern w:val="2"/>
                <w:sz w:val="28"/>
                <w:szCs w:val="28"/>
                <w:u w:val="none"/>
                <w:lang w:val="en-US" w:eastAsia="zh-CN" w:bidi="ar-SA"/>
              </w:rPr>
              <w:t>加倍困难，影响纯系的获取速度等</w:t>
            </w:r>
            <w:r>
              <w:rPr>
                <w:rFonts w:hint="eastAsia" w:ascii="仿宋" w:hAnsi="仿宋" w:eastAsia="仿宋" w:cs="仿宋"/>
                <w:i w:val="0"/>
                <w:iCs w:val="0"/>
                <w:color w:val="000000"/>
                <w:kern w:val="2"/>
                <w:sz w:val="28"/>
                <w:szCs w:val="28"/>
                <w:u w:val="none"/>
                <w:lang w:val="en-US" w:eastAsia="zh-CN" w:bidi="ar-SA"/>
              </w:rPr>
              <w:t>问题</w:t>
            </w:r>
            <w:r>
              <w:rPr>
                <w:rFonts w:hint="default"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en-US" w:eastAsia="zh-CN" w:bidi="ar-SA"/>
              </w:rPr>
              <w:t>因此</w:t>
            </w:r>
            <w:r>
              <w:rPr>
                <w:rFonts w:hint="default" w:ascii="仿宋" w:hAnsi="仿宋" w:eastAsia="仿宋" w:cs="仿宋"/>
                <w:i w:val="0"/>
                <w:iCs w:val="0"/>
                <w:color w:val="000000"/>
                <w:kern w:val="2"/>
                <w:sz w:val="28"/>
                <w:szCs w:val="28"/>
                <w:u w:val="none"/>
                <w:lang w:val="en-US" w:eastAsia="zh-CN" w:bidi="ar-SA"/>
              </w:rPr>
              <w:t>，当前亟待解决开发一个高效、大通量并且能够迅速获得纯系的通用技术体系，</w:t>
            </w:r>
            <w:r>
              <w:rPr>
                <w:rFonts w:hint="eastAsia" w:ascii="仿宋" w:hAnsi="仿宋" w:eastAsia="仿宋" w:cs="仿宋"/>
                <w:i w:val="0"/>
                <w:iCs w:val="0"/>
                <w:color w:val="000000"/>
                <w:kern w:val="2"/>
                <w:sz w:val="28"/>
                <w:szCs w:val="28"/>
                <w:u w:val="none"/>
                <w:lang w:val="en-US" w:eastAsia="zh-CN" w:bidi="ar-SA"/>
              </w:rPr>
              <w:t>以</w:t>
            </w:r>
            <w:r>
              <w:rPr>
                <w:rFonts w:hint="default" w:ascii="仿宋" w:hAnsi="仿宋" w:eastAsia="仿宋" w:cs="仿宋"/>
                <w:i w:val="0"/>
                <w:iCs w:val="0"/>
                <w:color w:val="000000"/>
                <w:kern w:val="2"/>
                <w:sz w:val="28"/>
                <w:szCs w:val="28"/>
                <w:u w:val="none"/>
                <w:lang w:val="en-US" w:eastAsia="zh-CN" w:bidi="ar-SA"/>
              </w:rPr>
              <w:t>推动作物育种实现创新性突破和长远发展。</w:t>
            </w:r>
          </w:p>
        </w:tc>
      </w:tr>
      <w:tr w14:paraId="4D8D0651">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5F8D1E98">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3BFC69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BB-10</w:t>
            </w:r>
          </w:p>
        </w:tc>
        <w:tc>
          <w:tcPr>
            <w:tcW w:w="278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ACF379B">
            <w:pPr>
              <w:keepNext w:val="0"/>
              <w:keepLines w:val="0"/>
              <w:widowControl/>
              <w:suppressLineNumbers w:val="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缺乏可与玉米轮作种植耐受除草剂的大豆品种</w:t>
            </w:r>
          </w:p>
        </w:tc>
        <w:tc>
          <w:tcPr>
            <w:tcW w:w="94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E9F5082">
            <w:pPr>
              <w:keepNext w:val="0"/>
              <w:keepLines w:val="0"/>
              <w:widowControl/>
              <w:suppressLineNumbers w:val="0"/>
              <w:jc w:val="both"/>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eastAsia="zh-CN"/>
              </w:rPr>
              <w:t>大豆作为重要的粮食和油料作物，与玉米轮作不仅能改善土壤结构、减少病虫害的发生，而且是推动农业可持续发展的重要措施。然而，长期以来我国对某些除草剂如莠去津的连续使用，已导致严重的土壤残留问题，这对玉米与大豆的轮作种植结构产生了不利影响。草甘膦、草铵膦等除草剂因在土壤中的残留期短、对后茬作物生长影响小，以及对人类、生态和环境友好，已被广泛使用。但是，目前缺乏与玉米大豆轮作体系相适应的、具有耐受这些除草剂特性的大豆新品种</w:t>
            </w:r>
            <w:r>
              <w:rPr>
                <w:rFonts w:hint="eastAsia" w:ascii="仿宋" w:hAnsi="仿宋" w:eastAsia="仿宋" w:cs="仿宋"/>
                <w:i w:val="0"/>
                <w:iCs w:val="0"/>
                <w:color w:val="000000"/>
                <w:sz w:val="28"/>
                <w:szCs w:val="28"/>
                <w:u w:val="none"/>
                <w:lang w:val="en-US" w:eastAsia="zh-CN"/>
              </w:rPr>
              <w:t>。</w:t>
            </w:r>
          </w:p>
        </w:tc>
      </w:tr>
      <w:tr w14:paraId="3E727971">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shd w:val="clear" w:color="auto" w:fill="FFFFFF"/>
            <w:noWrap/>
            <w:vAlign w:val="center"/>
          </w:tcPr>
          <w:p w14:paraId="6510BC10">
            <w:pPr>
              <w:widowControl/>
              <w:jc w:val="center"/>
              <w:textAlignment w:val="center"/>
              <w:rPr>
                <w:rFonts w:hint="eastAsia" w:ascii="仿宋" w:hAnsi="仿宋" w:eastAsia="仿宋" w:cs="仿宋"/>
                <w:color w:val="000000"/>
                <w:kern w:val="0"/>
                <w:sz w:val="28"/>
                <w:szCs w:val="28"/>
                <w:lang w:bidi="ar"/>
              </w:rPr>
            </w:pP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3B3EDD">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BB-11</w:t>
            </w:r>
          </w:p>
        </w:tc>
        <w:tc>
          <w:tcPr>
            <w:tcW w:w="27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A759E4">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缺乏高营养品质的大豆品种</w:t>
            </w:r>
          </w:p>
        </w:tc>
        <w:tc>
          <w:tcPr>
            <w:tcW w:w="94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62C70">
            <w:pPr>
              <w:keepNext w:val="0"/>
              <w:keepLines w:val="0"/>
              <w:widowControl/>
              <w:suppressLineNumbers w:val="0"/>
              <w:jc w:val="both"/>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大豆不仅是我国重要的油料作物，也是高蛋白的粮饲兼用作物，在我国农作物种植面积中排名第四。近年来，我国大豆年进口量超8800万吨以上，进口依赖度超80%，严重威胁我国粮食安全。面对这一严峻形势，农业农村部已经明确提出加强大豆及油料作物的供给能力，实施大豆振兴计划，并着力推进大豆良种增产增效行动，以研发和推广高产、高油、高蛋白的大豆新品种。同时，市场对高品质大豆的需求日益增长，这对大豆品种的改良提出了新的要求。因此，开发高品质大豆新品种成为当下大豆育种工作的重中之重。</w:t>
            </w:r>
          </w:p>
        </w:tc>
      </w:tr>
      <w:tr w14:paraId="2A5BC6B5">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noWrap w:val="0"/>
            <w:vAlign w:val="top"/>
          </w:tcPr>
          <w:p w14:paraId="0550C31C">
            <w:pPr>
              <w:widowControl/>
              <w:jc w:val="center"/>
              <w:textAlignment w:val="center"/>
              <w:rPr>
                <w:rFonts w:hint="eastAsia" w:ascii="仿宋" w:hAnsi="仿宋" w:eastAsia="仿宋" w:cs="仿宋"/>
                <w:color w:val="000000"/>
                <w:kern w:val="0"/>
                <w:sz w:val="28"/>
                <w:szCs w:val="28"/>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485BCA5">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BB-12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D80ACC">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sz w:val="28"/>
                <w:szCs w:val="28"/>
                <w:lang w:val="en-US" w:eastAsia="zh-CN"/>
              </w:rPr>
              <w:t>生物育种大数据管理分析与挖掘利用难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5D480F">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生物育种作为现代农业发展的关键技术，在我国正面临大数据应用的挑战。当前，生物育种领域数据采集存在设备成本高、技术标准不统一等问题，导致数据收集难度大。数据管理方面，由于缺乏有效的数据整合平台，数据孤岛现象严重，数据共享与利用效率不高。在数据分析层面，专业人才短缺和分析工具不足，使得数据的深层价值难以挖掘。这些问题制约了生物育种的创新能力和发展速度，亟须通过政策支持、技术创新和人才培养等措施，推动生物育种大数据的高效管理和应用，以促进农业可持续发展。</w:t>
            </w:r>
          </w:p>
        </w:tc>
      </w:tr>
      <w:tr w14:paraId="311D1CF7">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noWrap w:val="0"/>
            <w:vAlign w:val="top"/>
          </w:tcPr>
          <w:p w14:paraId="579693D3">
            <w:pPr>
              <w:widowControl/>
              <w:jc w:val="center"/>
              <w:textAlignment w:val="center"/>
              <w:rPr>
                <w:rFonts w:hint="eastAsia" w:ascii="仿宋" w:hAnsi="仿宋" w:eastAsia="仿宋" w:cs="仿宋"/>
                <w:color w:val="000000"/>
                <w:kern w:val="0"/>
                <w:sz w:val="28"/>
                <w:szCs w:val="28"/>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06BDA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BB-13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6B6A94">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耐除草剂品种欠缺可广泛适用的配套除草剂喷施规范与标准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C9EE5B">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随着生物育种产业化的加速推进，我国转基因抗虫耐除草剂玉米和大豆品种凭借在降低农业生产成本、减少农药用量以及促进产量提升方面的优势，示范推广面积正逐步扩大。当前，我国耐除草剂品种主要针对草甘膦或草铵膦等特定类型的除草剂具有耐受性，并非对所有除草剂普遍适用。因此在实际示范推广中缺乏统一的标准和规范，存在操作不规范、用量不当或喷施方法不科学等问题，这不仅削弱了除草效果，增加了环境风险，还可能影响作物产量，这也限制了我国生物育种产品的市场推广和接受，因此亟须建立统一的标准规范，提升转基因耐除草剂作物的安全性和除草剂的有效使用。</w:t>
            </w:r>
          </w:p>
        </w:tc>
      </w:tr>
      <w:tr w14:paraId="725B5F58">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right w:val="single" w:color="000000" w:sz="4" w:space="0"/>
            </w:tcBorders>
            <w:noWrap w:val="0"/>
            <w:vAlign w:val="top"/>
          </w:tcPr>
          <w:p w14:paraId="37457E2D">
            <w:pPr>
              <w:widowControl/>
              <w:jc w:val="center"/>
              <w:textAlignment w:val="center"/>
              <w:rPr>
                <w:rFonts w:hint="eastAsia" w:ascii="仿宋" w:hAnsi="仿宋" w:eastAsia="仿宋" w:cs="仿宋"/>
                <w:color w:val="000000"/>
                <w:kern w:val="0"/>
                <w:sz w:val="28"/>
                <w:szCs w:val="28"/>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9730C2">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BB-14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BD703C">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缺乏科学合理的转基因产品溯源追溯技术体系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FD76D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随着生物育种的逐步推广和市场需求的不断扩大，建立科学合理且完善的转基因产品溯源追溯技术体系变得尤为重要。通过转基因溯源，可以加强政府、市场和企业对转基因育种、生产、加工、运输等各环节的监管，保证产品的质量和安全性；同时也能够满足公众对转基因产品的知情权和选择权，提升消费者对转基因产品的接受度，对推动生物育种产业健康发展具有重要意义。</w:t>
            </w:r>
          </w:p>
        </w:tc>
      </w:tr>
      <w:tr w14:paraId="4516BF11">
        <w:tblPrEx>
          <w:tblCellMar>
            <w:top w:w="0" w:type="dxa"/>
            <w:left w:w="108" w:type="dxa"/>
            <w:bottom w:w="0" w:type="dxa"/>
            <w:right w:w="108" w:type="dxa"/>
          </w:tblCellMar>
        </w:tblPrEx>
        <w:trPr>
          <w:trHeight w:val="820" w:hRule="atLeast"/>
          <w:jc w:val="center"/>
        </w:trPr>
        <w:tc>
          <w:tcPr>
            <w:tcW w:w="1203" w:type="dxa"/>
            <w:vMerge w:val="continue"/>
            <w:tcBorders>
              <w:left w:val="single" w:color="000000" w:sz="4" w:space="0"/>
              <w:bottom w:val="single" w:color="auto" w:sz="4" w:space="0"/>
              <w:right w:val="single" w:color="000000" w:sz="4" w:space="0"/>
            </w:tcBorders>
            <w:noWrap w:val="0"/>
            <w:vAlign w:val="top"/>
          </w:tcPr>
          <w:p w14:paraId="32F24FEE">
            <w:pPr>
              <w:widowControl/>
              <w:jc w:val="center"/>
              <w:textAlignment w:val="center"/>
              <w:rPr>
                <w:rFonts w:hint="eastAsia" w:ascii="仿宋" w:hAnsi="仿宋" w:eastAsia="仿宋" w:cs="仿宋"/>
                <w:color w:val="000000"/>
                <w:kern w:val="0"/>
                <w:sz w:val="28"/>
                <w:szCs w:val="28"/>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0FDE7A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BB-15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848D5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缺乏转基因便捷快速</w:t>
            </w:r>
            <w:bookmarkStart w:id="0" w:name="_GoBack"/>
            <w:bookmarkEnd w:id="0"/>
            <w:r>
              <w:rPr>
                <w:rFonts w:hint="eastAsia" w:ascii="仿宋" w:hAnsi="仿宋" w:eastAsia="仿宋" w:cs="仿宋"/>
                <w:i w:val="0"/>
                <w:iCs w:val="0"/>
                <w:color w:val="000000"/>
                <w:kern w:val="0"/>
                <w:sz w:val="28"/>
                <w:szCs w:val="28"/>
                <w:u w:val="none"/>
                <w:lang w:val="en-US" w:eastAsia="zh-CN" w:bidi="ar"/>
              </w:rPr>
              <w:t>检测设备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1255E9">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随着生物育种产业的快速发展，转基因产品的检测技术成为保障产业健康发展的关键。</w:t>
            </w:r>
            <w:r>
              <w:rPr>
                <w:rFonts w:hint="eastAsia" w:ascii="仿宋" w:hAnsi="仿宋" w:eastAsia="仿宋" w:cs="仿宋"/>
                <w:i w:val="0"/>
                <w:iCs w:val="0"/>
                <w:color w:val="000000"/>
                <w:kern w:val="0"/>
                <w:sz w:val="28"/>
                <w:szCs w:val="28"/>
                <w:u w:val="none"/>
                <w:lang w:val="en-US" w:eastAsia="zh-CN" w:bidi="ar"/>
              </w:rPr>
              <w:t>当前，</w:t>
            </w:r>
            <w:r>
              <w:rPr>
                <w:rFonts w:hint="default" w:ascii="仿宋" w:hAnsi="仿宋" w:eastAsia="仿宋" w:cs="仿宋"/>
                <w:i w:val="0"/>
                <w:iCs w:val="0"/>
                <w:color w:val="000000"/>
                <w:kern w:val="0"/>
                <w:sz w:val="28"/>
                <w:szCs w:val="28"/>
                <w:u w:val="none"/>
                <w:lang w:val="en-US" w:eastAsia="zh-CN" w:bidi="ar"/>
              </w:rPr>
              <w:t>已有多种转基因蛋白检测技术被广泛研究和应用，如酶联免疫分析法、试纸条法、质谱分析法等，</w:t>
            </w:r>
            <w:r>
              <w:rPr>
                <w:rFonts w:hint="eastAsia" w:ascii="仿宋" w:hAnsi="仿宋" w:eastAsia="仿宋" w:cs="仿宋"/>
                <w:i w:val="0"/>
                <w:iCs w:val="0"/>
                <w:color w:val="000000"/>
                <w:kern w:val="0"/>
                <w:sz w:val="28"/>
                <w:szCs w:val="28"/>
                <w:u w:val="none"/>
                <w:lang w:val="en-US" w:eastAsia="zh-CN" w:bidi="ar"/>
              </w:rPr>
              <w:t>但转基因快速检测技术</w:t>
            </w:r>
            <w:r>
              <w:rPr>
                <w:rFonts w:hint="default" w:ascii="仿宋" w:hAnsi="仿宋" w:eastAsia="仿宋" w:cs="仿宋"/>
                <w:i w:val="0"/>
                <w:iCs w:val="0"/>
                <w:color w:val="000000"/>
                <w:kern w:val="0"/>
                <w:sz w:val="28"/>
                <w:szCs w:val="28"/>
                <w:u w:val="none"/>
                <w:lang w:val="en-US" w:eastAsia="zh-CN" w:bidi="ar"/>
              </w:rPr>
              <w:t>尤其是在便捷快速检测设备的研发上</w:t>
            </w:r>
            <w:r>
              <w:rPr>
                <w:rFonts w:hint="eastAsia" w:ascii="仿宋" w:hAnsi="仿宋" w:eastAsia="仿宋" w:cs="仿宋"/>
                <w:i w:val="0"/>
                <w:iCs w:val="0"/>
                <w:color w:val="000000"/>
                <w:kern w:val="0"/>
                <w:sz w:val="28"/>
                <w:szCs w:val="28"/>
                <w:u w:val="none"/>
                <w:lang w:val="en-US" w:eastAsia="zh-CN" w:bidi="ar"/>
              </w:rPr>
              <w:t>仍存在一定的挑战，市场现有的检测设备普遍存在体积庞大、操作复杂、检测周期长等问题，难以满足现场快速检测的需求。</w:t>
            </w:r>
          </w:p>
        </w:tc>
      </w:tr>
    </w:tbl>
    <w:p w14:paraId="6739376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b/>
          <w:bCs/>
          <w:i w:val="0"/>
          <w:iCs w:val="0"/>
          <w:color w:val="auto"/>
          <w:kern w:val="2"/>
          <w:sz w:val="28"/>
          <w:szCs w:val="28"/>
          <w:u w:val="none"/>
          <w:lang w:val="en-US" w:eastAsia="zh-CN" w:bidi="ar-SA"/>
        </w:rPr>
      </w:pPr>
    </w:p>
    <w:p w14:paraId="35969FB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bCs/>
          <w:i w:val="0"/>
          <w:iCs w:val="0"/>
          <w:color w:val="auto"/>
          <w:kern w:val="2"/>
          <w:sz w:val="28"/>
          <w:szCs w:val="28"/>
          <w:u w:val="none"/>
          <w:lang w:val="en-US" w:eastAsia="zh-CN" w:bidi="ar-SA"/>
        </w:rPr>
      </w:pPr>
    </w:p>
    <w:p w14:paraId="688C376A">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28C071C2">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3F49FFBA">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14:paraId="3301AFF3"/>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文黑-55简">
    <w:altName w:val="黑体"/>
    <w:panose1 w:val="00020600040101010101"/>
    <w:charset w:val="86"/>
    <w:family w:val="auto"/>
    <w:pitch w:val="default"/>
    <w:sig w:usb0="00000000" w:usb1="00000000" w:usb2="00000016" w:usb3="00000000" w:csb0="0004009F" w:csb1="DFD70000"/>
  </w:font>
  <w:font w:name="汉仪文黑-85W">
    <w:altName w:val="黑体"/>
    <w:panose1 w:val="00020600040101010101"/>
    <w:charset w:val="86"/>
    <w:family w:val="roman"/>
    <w:pitch w:val="default"/>
    <w:sig w:usb0="00000000" w:usb1="00000000" w:usb2="00000016" w:usb3="00000000" w:csb0="0004009F" w:csb1="DFD7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E4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4FE7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5BD4FE7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DcwOTg2NmIyZTkxMmRlMzZmN2FkODQ0OWNkZjUifQ=="/>
  </w:docVars>
  <w:rsids>
    <w:rsidRoot w:val="190C0673"/>
    <w:rsid w:val="190C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before="50" w:beforeLines="50" w:after="50" w:afterLines="50" w:line="288" w:lineRule="auto"/>
      <w:jc w:val="both"/>
    </w:pPr>
    <w:rPr>
      <w:rFonts w:ascii="汉仪文黑-55简" w:hAnsi="汉仪文黑-55简" w:eastAsia="汉仪文黑-55简" w:cs="Times New Roman"/>
      <w:kern w:val="2"/>
      <w:sz w:val="22"/>
      <w:szCs w:val="22"/>
      <w:lang w:val="en-US" w:eastAsia="zh-CN" w:bidi="ar-SA"/>
    </w:rPr>
  </w:style>
  <w:style w:type="paragraph" w:styleId="2">
    <w:name w:val="heading 1"/>
    <w:basedOn w:val="1"/>
    <w:next w:val="1"/>
    <w:qFormat/>
    <w:uiPriority w:val="9"/>
    <w:pPr>
      <w:keepNext/>
      <w:keepLines/>
      <w:shd w:val="clear" w:color="auto" w:fill="DFEDF9"/>
      <w:tabs>
        <w:tab w:val="left" w:pos="0"/>
      </w:tabs>
      <w:adjustRightInd w:val="0"/>
      <w:snapToGrid w:val="0"/>
      <w:spacing w:before="60" w:beforeLines="60"/>
      <w:ind w:firstLine="0" w:firstLineChars="0"/>
      <w:outlineLvl w:val="0"/>
    </w:pPr>
    <w:rPr>
      <w:rFonts w:ascii="汉仪文黑-85W" w:hAnsi="汉仪文黑-85W" w:eastAsia="汉仪文黑-85W" w:cs="Times New Roman"/>
      <w:color w:val="3279B6"/>
      <w:kern w:val="44"/>
      <w:sz w:val="36"/>
      <w:szCs w:val="36"/>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center"/>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2024-08-14T08:07:00Z</dcterms:created>
  <dc:creator>DAI</dc:creator>
  <cp:lastModifiedBy>DAI</cp:lastModifiedBy>
  <dcterms:modified xsi:type="dcterms:W3CDTF">2024-08-14T08:07:49Z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BAEF629B5164431882F68944DC5613D1_11</vt:lpwstr>
  </property>
</Properties>
</file>