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EBC3B2">
      <w:pPr>
        <w:widowControl/>
        <w:spacing w:line="82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color w:val="000000"/>
          <w:spacing w:val="-6"/>
          <w:kern w:val="0"/>
          <w:sz w:val="44"/>
          <w:szCs w:val="44"/>
        </w:rPr>
        <w:t>项目</w:t>
      </w:r>
      <w:r>
        <w:rPr>
          <w:rFonts w:hint="eastAsia" w:ascii="小标宋" w:hAnsi="宋体" w:eastAsia="小标宋" w:cs="宋体"/>
          <w:color w:val="000000"/>
          <w:kern w:val="0"/>
          <w:sz w:val="44"/>
          <w:szCs w:val="44"/>
        </w:rPr>
        <w:t>申报指南</w:t>
      </w:r>
    </w:p>
    <w:p w14:paraId="6C9E5917"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 w14:paraId="2A42E25E"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 w14:paraId="279631A4"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目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录</w:t>
      </w:r>
    </w:p>
    <w:p w14:paraId="5E810ECA">
      <w:pPr>
        <w:pStyle w:val="7"/>
        <w:ind w:left="-200" w:leftChars="-189" w:right="-218" w:rightChars="-104" w:hanging="197" w:hangingChars="94"/>
        <w:jc w:val="center"/>
        <w:rPr>
          <w:rFonts w:hint="eastAsia"/>
        </w:rPr>
      </w:pPr>
    </w:p>
    <w:p w14:paraId="479A9C02">
      <w:pPr>
        <w:pStyle w:val="6"/>
        <w:tabs>
          <w:tab w:val="right" w:leader="dot" w:pos="8306"/>
        </w:tabs>
        <w:ind w:left="-191" w:leftChars="-189" w:right="-218" w:rightChars="-104" w:hanging="206" w:hangingChars="94"/>
        <w:jc w:val="center"/>
        <w:rPr>
          <w:rFonts w:hint="eastAsia" w:ascii="楷体_GB2312" w:hAnsi="楷体_GB2312" w:eastAsia="楷体_GB2312" w:cs="楷体_GB2312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fldChar w:fldCharType="begin"/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instrText xml:space="preserve"> HYPERLINK \l _Toc32342 </w:instrTex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企业典型创新案例征集及宣讲活动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tab/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 w:bidi="ar"/>
        </w:rPr>
        <w:t>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fldChar w:fldCharType="end"/>
      </w:r>
    </w:p>
    <w:p w14:paraId="68F8F0AB">
      <w:pPr>
        <w:pStyle w:val="6"/>
        <w:tabs>
          <w:tab w:val="right" w:leader="dot" w:pos="8306"/>
        </w:tabs>
        <w:ind w:left="-97" w:leftChars="-189" w:right="-218" w:rightChars="-104" w:hanging="300" w:hangingChars="94"/>
        <w:jc w:val="center"/>
        <w:rPr>
          <w:rFonts w:hint="eastAsia" w:ascii="楷体_GB2312" w:hAnsi="宋体" w:eastAsia="楷体_GB2312" w:cs="楷体_GB2312"/>
          <w:color w:val="000000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企业典型创新案例征集及宣讲活动品牌建设</w:t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bidi="ar"/>
        </w:rPr>
        <w:fldChar w:fldCharType="begin"/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bidi="ar"/>
        </w:rPr>
        <w:instrText xml:space="preserve"> HYPERLINK \l _Toc25057 </w:instrText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bidi="ar"/>
        </w:rPr>
        <w:fldChar w:fldCharType="separate"/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bidi="ar"/>
        </w:rPr>
        <w:tab/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bidi="ar"/>
        </w:rPr>
        <w:fldChar w:fldCharType="end"/>
      </w:r>
      <w:r>
        <w:rPr>
          <w:rFonts w:hint="eastAsia" w:ascii="楷体_GB2312" w:hAnsi="宋体" w:eastAsia="楷体_GB2312" w:cs="楷体_GB2312"/>
          <w:color w:val="000000"/>
          <w:sz w:val="32"/>
          <w:szCs w:val="32"/>
          <w:lang w:val="en-US" w:eastAsia="zh-CN" w:bidi="ar"/>
        </w:rPr>
        <w:t>4</w:t>
      </w:r>
    </w:p>
    <w:p w14:paraId="482A70AD">
      <w:pPr>
        <w:spacing w:after="100"/>
      </w:pPr>
      <w:r>
        <w:fldChar w:fldCharType="end"/>
      </w:r>
    </w:p>
    <w:p w14:paraId="58B7251D">
      <w:pPr>
        <w:spacing w:line="700" w:lineRule="exact"/>
        <w:jc w:val="center"/>
        <w:rPr>
          <w:rFonts w:hint="eastAsia" w:ascii="小标宋" w:hAnsi="等线" w:eastAsia="小标宋" w:cs="Times New Roman"/>
          <w:sz w:val="44"/>
          <w:szCs w:val="44"/>
          <w:lang w:eastAsia="zh-CN"/>
        </w:rPr>
      </w:pPr>
      <w:r>
        <w:rPr>
          <w:rFonts w:ascii="仿宋_GB2312" w:eastAsia="仿宋_GB2312"/>
          <w:sz w:val="32"/>
          <w:szCs w:val="32"/>
          <w:lang w:bidi="ar"/>
        </w:rPr>
        <w:br w:type="page"/>
      </w:r>
      <w:r>
        <w:rPr>
          <w:rFonts w:hint="eastAsia" w:ascii="小标宋" w:hAnsi="等线" w:eastAsia="小标宋" w:cs="Times New Roman"/>
          <w:sz w:val="44"/>
          <w:szCs w:val="44"/>
          <w:lang w:val="en-US" w:eastAsia="zh-CN"/>
        </w:rPr>
        <w:t>企业典型创新案例征集及宣讲活动</w:t>
      </w:r>
      <w:r>
        <w:rPr>
          <w:rFonts w:hint="eastAsia" w:ascii="小标宋" w:hAnsi="等线" w:eastAsia="小标宋" w:cs="Times New Roman"/>
          <w:sz w:val="44"/>
          <w:szCs w:val="44"/>
          <w:lang w:eastAsia="zh-CN"/>
        </w:rPr>
        <w:t>项目</w:t>
      </w:r>
    </w:p>
    <w:p w14:paraId="67EFA3BB">
      <w:pPr>
        <w:spacing w:line="700" w:lineRule="exact"/>
        <w:jc w:val="center"/>
        <w:rPr>
          <w:rFonts w:ascii="小标宋" w:hAnsi="等线" w:eastAsia="小标宋" w:cs="Times New Roman"/>
          <w:sz w:val="44"/>
          <w:szCs w:val="44"/>
        </w:rPr>
      </w:pPr>
      <w:r>
        <w:rPr>
          <w:rFonts w:hint="eastAsia" w:ascii="小标宋" w:hAnsi="等线" w:eastAsia="小标宋" w:cs="Times New Roman"/>
          <w:sz w:val="44"/>
          <w:szCs w:val="44"/>
        </w:rPr>
        <w:t>申报指南</w:t>
      </w:r>
    </w:p>
    <w:p w14:paraId="18A3AF74">
      <w:pPr>
        <w:spacing w:line="700" w:lineRule="exact"/>
        <w:rPr>
          <w:rFonts w:ascii="小标宋" w:hAnsi="等线" w:eastAsia="小标宋" w:cs="Times New Roman"/>
          <w:sz w:val="44"/>
          <w:szCs w:val="44"/>
        </w:rPr>
      </w:pPr>
    </w:p>
    <w:p w14:paraId="307551F9">
      <w:pPr>
        <w:spacing w:line="70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子项目编号：</w:t>
      </w:r>
    </w:p>
    <w:p w14:paraId="17CF5679">
      <w:pPr>
        <w:snapToGrid w:val="0"/>
        <w:spacing w:line="58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子项目名称：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企业典型创新案例征集及宣讲活动</w:t>
      </w:r>
    </w:p>
    <w:p w14:paraId="3B607F93">
      <w:pPr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一、项目概述</w:t>
      </w:r>
    </w:p>
    <w:p w14:paraId="1367A524"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着眼于激发企业科技工作者创新活力、提升企业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创新能力，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企业典型创新案例征集及宣讲活动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将依托园区（企业）科协组织，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sz w:val="32"/>
          <w:szCs w:val="32"/>
        </w:rPr>
        <w:t>、宣传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一批在组织创新、技术创新、工艺创新中具有典型示范意义的创新案例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；组建一支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企业典型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宣讲团，通过讲述创新故事，弘扬企业家精神、科学家精神、工匠精神，激发创新活力，展现创新风采，增强创新自信，在科技界坚定主心骨、弘扬主旋律，进一步密切同广大科技工作者的情感交流和血肉联系，增强基层科技工作者的责任感、获得感、荣誉感和归属感。</w:t>
      </w:r>
    </w:p>
    <w:p w14:paraId="23C31250"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项目数量：12个（省份）</w:t>
      </w:r>
    </w:p>
    <w:p w14:paraId="78EE04E8"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实施周期：202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月—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</w:p>
    <w:p w14:paraId="7B882967">
      <w:pPr>
        <w:widowControl/>
        <w:spacing w:line="560" w:lineRule="exact"/>
        <w:ind w:firstLine="620" w:firstLineChars="200"/>
        <w:rPr>
          <w:rFonts w:eastAsia="仿宋_GB231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经费额度：240万元（20万元/省份×12省份）</w:t>
      </w:r>
    </w:p>
    <w:p w14:paraId="146A0FE8">
      <w:pPr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二、项目内容</w:t>
      </w:r>
    </w:p>
    <w:p w14:paraId="665F1B8C">
      <w:pPr>
        <w:widowControl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（一）制定工作细则</w:t>
      </w:r>
    </w:p>
    <w:p w14:paraId="5BA23CC6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84"/>
          <w:szCs w:val="8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按照有关工作要求制定本省活动整体工作细则1份，包含活动整体流程、各辖区名额分配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方案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、企业内部推荐标准及流程、各辖区遴选标准及流程、省级遴选标准及流程、整体宣传方案、区域宣讲活动方案等内容。</w:t>
      </w:r>
    </w:p>
    <w:p w14:paraId="07277E27">
      <w:pPr>
        <w:widowControl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（二）组织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eastAsia="zh-CN" w:bidi="ar"/>
        </w:rPr>
        <w:t>征集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评选</w:t>
      </w:r>
    </w:p>
    <w:p w14:paraId="1B335883">
      <w:pPr>
        <w:numPr>
          <w:ilvl w:val="-1"/>
          <w:numId w:val="0"/>
        </w:numPr>
        <w:snapToGrid w:val="0"/>
        <w:spacing w:line="580" w:lineRule="exac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省市区（县）三级科协组织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，按照动员部署、组织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征集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、逐级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推荐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的活动流程，做好组织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征集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评选工作。</w:t>
      </w:r>
    </w:p>
    <w:p w14:paraId="6EF5FBE4">
      <w:pPr>
        <w:numPr>
          <w:ilvl w:val="-1"/>
          <w:numId w:val="0"/>
        </w:num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动员部署</w:t>
      </w:r>
    </w:p>
    <w:p w14:paraId="348ADCC5"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1.由各省级科协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向市级科协及相关部门发出活动通知，并由市级科协向区县科协转发通知，最后由区县科协将通知具体下发到园区（企业）科协。</w:t>
      </w:r>
    </w:p>
    <w:p w14:paraId="03BF707F"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以宣传1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个企业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为目标，各省份按照下辖各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市园区（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科协数量对各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名额进行分配，下辖各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采用差额方式产生推荐名单，差额比例不低于</w:t>
      </w:r>
      <w:r>
        <w:rPr>
          <w:rFonts w:ascii="仿宋_GB2312" w:hAnsi="仿宋_GB2312" w:eastAsia="仿宋_GB2312" w:cs="仿宋_GB2312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 w14:paraId="266FA173"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3.区县科协要切实将通知下发到各园区（企业）科协，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组织园区（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积极宣传企业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典型创新案例征集及宣讲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，鼓励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参与。</w:t>
      </w:r>
    </w:p>
    <w:p w14:paraId="69E18E17"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征集</w:t>
      </w:r>
    </w:p>
    <w:p w14:paraId="2D47486C"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各园区（企业）科协参照企业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案例推荐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标准，按照公平、公正、公开、择优原则和属地原则，向所在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科协负责辖区内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企业创新案例的征集工作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，筛除不符合条件的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材料并及时向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市级科协上报推荐案例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 w14:paraId="149B5111"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）逐级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</w:p>
    <w:p w14:paraId="40F992C5"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区县科协上报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，通过专家评审、网络投票、小型宣讲会等形式，从名单中遴选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产生市级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典型创新案例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（总数满足名额分配表要求，且来自同一企业的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案例不超过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 w14:paraId="5565F151"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科协推荐的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，通过专家评审、网络投票等形式，产生本省企业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典型创新案例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（不超过1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个，园区科协推荐比例不低于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个创新案例进行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宣讲（各下辖地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均不超过2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个，来自园区科协不低于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 w14:paraId="391C6A05">
      <w:pPr>
        <w:widowControl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（三）线上线下相结合举办宣讲活动</w:t>
      </w:r>
    </w:p>
    <w:p w14:paraId="52542D15">
      <w:pPr>
        <w:widowControl/>
        <w:snapToGrid w:val="0"/>
        <w:spacing w:line="58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组建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典型创新案例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宣讲团，通过线上线下相结合的方式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深入科技企业数量较多、科技工作者较密集的科技园区至少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宣讲活动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，并引导各地市科协自发组织开展市级宣讲活动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。开展宣讲活动前，应形成区域宣讲活动方案1份，包括活动时间、活动地点、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宣讲名单、与会嘉宾名单、媒体名单、环节设置等详细安排，并在活动举办前将工作方案及宣讲材料交由采购人审核。202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月底前至少举办1场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省级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层面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宣讲活动。</w:t>
      </w:r>
    </w:p>
    <w:p w14:paraId="7468F91D">
      <w:pPr>
        <w:widowControl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（四）开展集中宣传</w:t>
      </w:r>
    </w:p>
    <w:p w14:paraId="00D2A56C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一是为活动专题互动网页提供相关素材。结合活动最新进展，及时为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园企科协办事大厅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上开设的活动专栏提供图文素材；</w:t>
      </w:r>
    </w:p>
    <w:p w14:paraId="2E108F24"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二是组织媒体对宣讲活动进行集中宣传报道。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各省级科协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全周期制定详细宣传方案，做好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活动预热、现场直播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通过电视、网络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新媒体等多种传播媒介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对典型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报道和重点推送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，制作典型创新案例集等宣传资料，与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活动相关的省级媒体宣传报道不少于5篇、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权威</w:t>
      </w:r>
      <w:r>
        <w:rPr>
          <w:rFonts w:hint="eastAsia" w:ascii="仿宋_GB2312" w:hAnsi="仿宋_GB2312" w:eastAsia="仿宋_GB2312" w:cs="仿宋_GB2312"/>
          <w:sz w:val="32"/>
          <w:szCs w:val="32"/>
        </w:rPr>
        <w:t>主流媒体综述性报道不少于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 w14:paraId="19C9FE92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是围绕活动全过程，征集、制作高水准的宣传材料。采集本省企业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典型创新案例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视频素材，并按照统一要求进行剪辑制作，形成不少于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0条专题视频资料，每条2分钟左右；以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介绍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或专访等形式，梳理创新故事，形成100篇省级企业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典型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创新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文字材料；</w:t>
      </w:r>
    </w:p>
    <w:p w14:paraId="1324FE30"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四是其他集中宣传活动。积极创新宣传方式，用好用活网络、电视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、新媒体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等多种传播媒介，以文字、图片和视频等方式，通过主流媒体和科协系统渠道进行宣传报道和重点推送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；</w:t>
      </w:r>
      <w:bookmarkStart w:id="0" w:name="_GoBack"/>
      <w:bookmarkEnd w:id="0"/>
    </w:p>
    <w:p w14:paraId="01BA8254"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五是征集科普展品。重点关注国家级专精特新“小巨人”企业典型创新案例，并面向该类企业征集科技展品。展品要突出创新性、代表性、互动性，将在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中国科技馆（或其他类似场所）专题展出，进一步宣传企业创新事迹，营造良好创新氛围。</w:t>
      </w:r>
    </w:p>
    <w:p w14:paraId="43A17D44">
      <w:pPr>
        <w:widowControl/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三、质量要求</w:t>
      </w:r>
    </w:p>
    <w:p w14:paraId="54EEF87B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1.工作方案设计要突出系统性、可行性、创新性，与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本地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科技、工信、工商等相关部门协同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开展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，提高活动的覆盖面和影响力，活动宣传形式要新颖、灵活。</w:t>
      </w:r>
    </w:p>
    <w:p w14:paraId="5735ACB8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典型案例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文集和专题视频等宣传资料的制作使用要符合相关行业标准要求，图文结合，内容和技术质量须具备在各类媒体传播条件。</w:t>
      </w:r>
    </w:p>
    <w:p w14:paraId="4DB8F360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按照项目进度安排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，优质高效完成工作任务。</w:t>
      </w:r>
    </w:p>
    <w:p w14:paraId="62A50CEB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.服从项目管理，接受项目验收评价。</w:t>
      </w:r>
    </w:p>
    <w:p w14:paraId="2BEB8963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.规范经费支出管理，专账管理、独立核算、专款专用。</w:t>
      </w:r>
    </w:p>
    <w:p w14:paraId="206BA8AE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.落实项目申报书中明确的支撑保障条件。</w:t>
      </w:r>
    </w:p>
    <w:p w14:paraId="66723066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各项目成果归中国科协企业创新服务中心所有，如需公开发表或发布成果，须经中国科协企业创新服务中心审核同意。</w:t>
      </w:r>
    </w:p>
    <w:p w14:paraId="43DAEE26"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四、申报条件</w:t>
      </w:r>
    </w:p>
    <w:p w14:paraId="02BD4956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1.申报单位须具有独立法人资格，不接受非法人单位、公益一类事业单位和个人申报。</w:t>
      </w:r>
    </w:p>
    <w:p w14:paraId="0CAA4CBB"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申报单位所在省份的省级科协重视企业科协组织建设工作，有良好的企业科协工作基础，愿意为企业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典型创新案例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宣讲活动开展创造工作条件和提供支撑保障。省级科协须为申报单位出具项目支持函。</w:t>
      </w:r>
    </w:p>
    <w:p w14:paraId="177E5F0D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.申报单位应熟悉中央财政项目实施管理要求，具有与本项目类似的既往业绩和实施项目的综合能力，内部管理制度健全，财务状况良好。</w:t>
      </w:r>
    </w:p>
    <w:p w14:paraId="0E802D77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.申报单位能够按时保质保量完成项目工作任务。</w:t>
      </w:r>
    </w:p>
    <w:p w14:paraId="79324E3D"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五、服务要求</w:t>
      </w:r>
    </w:p>
    <w:p w14:paraId="1C596D15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1.充分理解项目任务，制定具体实施方案，配置必要资源条件，安排本单位负责人1名为项目负责人，并配备专业人员组成专项工作团队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，按月汇报工作进度情况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 w14:paraId="1C2FEDC6"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2.建立完善的项目管理机制，多角度进行内部控制，及时响应采购人服务需求，高效执行项目。</w:t>
      </w:r>
    </w:p>
    <w:p w14:paraId="6D1D5B46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3.规范实施项目，接受采购人项目监督和工作指导，配合项目履约验收工作，按要求提交项目执行报告、工作总结、绩效报告等相关材料。</w:t>
      </w:r>
    </w:p>
    <w:p w14:paraId="75CC0C0B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4.经费支出专账管理、独立核算、专款专用。</w:t>
      </w:r>
    </w:p>
    <w:p w14:paraId="0BF6FD2D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5.不得转包、分包项目工作。</w:t>
      </w:r>
    </w:p>
    <w:p w14:paraId="30B7CCDB">
      <w:pPr>
        <w:widowControl/>
        <w:spacing w:line="560" w:lineRule="exact"/>
        <w:ind w:firstLine="620" w:firstLineChars="200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六、联系方式</w:t>
      </w:r>
    </w:p>
    <w:p w14:paraId="444521AE">
      <w:pPr>
        <w:widowControl/>
        <w:spacing w:line="560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联 系 人：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李老师</w:t>
      </w:r>
    </w:p>
    <w:p w14:paraId="0B7AD2E2">
      <w:pPr>
        <w:widowControl/>
        <w:spacing w:line="560" w:lineRule="exact"/>
        <w:ind w:firstLine="620" w:firstLineChars="20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联系方式：010-6217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4953</w:t>
      </w:r>
    </w:p>
    <w:p w14:paraId="5FC8ED68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 w14:paraId="447F000E">
      <w:pPr>
        <w:spacing w:line="700" w:lineRule="exact"/>
        <w:jc w:val="center"/>
        <w:rPr>
          <w:rFonts w:ascii="小标宋" w:hAnsi="等线" w:eastAsia="小标宋" w:cs="Times New Roman"/>
          <w:spacing w:val="-6"/>
          <w:sz w:val="44"/>
          <w:szCs w:val="44"/>
        </w:rPr>
      </w:pPr>
      <w:r>
        <w:rPr>
          <w:rFonts w:hint="eastAsia" w:ascii="小标宋" w:hAnsi="等线" w:eastAsia="小标宋" w:cs="Times New Roman"/>
          <w:spacing w:val="-6"/>
          <w:sz w:val="44"/>
          <w:szCs w:val="44"/>
          <w:lang w:val="en-US" w:eastAsia="zh-CN"/>
        </w:rPr>
        <w:t>企业典型创新案例征集及宣讲活动品牌建设</w:t>
      </w:r>
    </w:p>
    <w:p w14:paraId="1296C23E">
      <w:pPr>
        <w:spacing w:line="700" w:lineRule="exact"/>
        <w:jc w:val="center"/>
        <w:rPr>
          <w:rFonts w:ascii="小标宋" w:hAnsi="等线" w:eastAsia="小标宋" w:cs="Times New Roman"/>
          <w:sz w:val="44"/>
          <w:szCs w:val="44"/>
        </w:rPr>
      </w:pPr>
      <w:r>
        <w:rPr>
          <w:rFonts w:hint="eastAsia" w:ascii="小标宋" w:hAnsi="等线" w:eastAsia="小标宋" w:cs="Times New Roman"/>
          <w:spacing w:val="-6"/>
          <w:sz w:val="44"/>
          <w:szCs w:val="44"/>
        </w:rPr>
        <w:t>项目</w:t>
      </w:r>
      <w:r>
        <w:rPr>
          <w:rFonts w:hint="eastAsia" w:ascii="小标宋" w:hAnsi="等线" w:eastAsia="小标宋" w:cs="Times New Roman"/>
          <w:sz w:val="44"/>
          <w:szCs w:val="44"/>
        </w:rPr>
        <w:t>申报指南</w:t>
      </w:r>
    </w:p>
    <w:p w14:paraId="3B656CCB">
      <w:pPr>
        <w:spacing w:line="70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</w:p>
    <w:p w14:paraId="1747575B">
      <w:pPr>
        <w:spacing w:line="58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子项目编号：</w:t>
      </w:r>
    </w:p>
    <w:p w14:paraId="26FBD8ED">
      <w:pPr>
        <w:spacing w:line="58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子项目名称：</w:t>
      </w:r>
      <w:r>
        <w:rPr>
          <w:rFonts w:hint="eastAsia" w:ascii="仿宋_GB2312" w:hAnsi="小标宋" w:eastAsia="仿宋_GB2312" w:cs="小标宋"/>
          <w:sz w:val="32"/>
          <w:szCs w:val="32"/>
          <w:lang w:val="en-US" w:eastAsia="zh-CN"/>
        </w:rPr>
        <w:t>企业典型创新案例征集及宣讲活动品牌建设</w:t>
      </w:r>
    </w:p>
    <w:p w14:paraId="7DF9DBF5">
      <w:pPr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一、项目概述</w:t>
      </w:r>
    </w:p>
    <w:p w14:paraId="1E8DE39D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围绕</w:t>
      </w:r>
      <w:r>
        <w:rPr>
          <w:rFonts w:hint="eastAsia" w:ascii="仿宋_GB2312" w:hAnsi="小标宋" w:eastAsia="仿宋_GB2312" w:cs="小标宋"/>
          <w:sz w:val="32"/>
          <w:szCs w:val="32"/>
          <w:lang w:val="en-US" w:eastAsia="zh-CN"/>
        </w:rPr>
        <w:t>企业典型创新案例征集及宣讲活动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全过程制定系统性品牌建设方案，在全国范围内跟踪报道各活动省份推进情况并制作系列宣传品，不断扩大活动的吸引力、影响力、引导力，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推动各地园区（企业）组织建设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助力打造科协组织团结引领广大企业科技工作者为实现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高水平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科技自立自强作贡献的有效抓手和工作品牌。</w:t>
      </w:r>
    </w:p>
    <w:p w14:paraId="61AD7F05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项目数量：1个</w:t>
      </w:r>
    </w:p>
    <w:p w14:paraId="47F9CA6B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实施周期：202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月—1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</w:p>
    <w:p w14:paraId="149B64F8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经费额度：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万元</w:t>
      </w:r>
    </w:p>
    <w:p w14:paraId="1DE01951">
      <w:pPr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二、项目内容</w:t>
      </w:r>
    </w:p>
    <w:p w14:paraId="4AB972A8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1.制定系统性宣传推广方案并推进实施</w:t>
      </w:r>
    </w:p>
    <w:p w14:paraId="2643B1D8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结合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企业典型创新案例征集及宣讲活动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进程，制定1套覆盖活动全流程的品牌建设方案并推进实施，吸引更多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园区、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科技工作者参与宣讲活动，扩大活动的知名度及社会影响力，帮助活动树立良好的品牌形象。宣传方案应至少分为活动预热阶段、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案例征集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阶段、区域宣讲阶段及活动总结阶段，宣传方式包括但不限于现场跟踪采访、权威媒体新闻报道（联络媒体数量不低于20个，全年使用不少于100次权威媒体渠道）等。同时，协助企业创新服务中心在活动专题页、微信公众号发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企业典型创新故事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、活动报道等，按照企业创新服务中心的宣传计划，做好有关文字材料的起草编辑工作。</w:t>
      </w:r>
    </w:p>
    <w:p w14:paraId="1D4578C5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2.设计制作宣传物料及视频资料</w:t>
      </w:r>
    </w:p>
    <w:p w14:paraId="057B236E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宣传物料方面。围绕活动定位、目的意义、活动流程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典型案例等方面设计、制作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企业典型创新案例征集及宣讲活动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主视觉、宣传海报、宣传册等宣传物料，对活动进行全方位宣传。成果包括1套活动主视觉、3份宣传海报、1个宣传册。</w:t>
      </w:r>
    </w:p>
    <w:p w14:paraId="7A17EF42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视频资料方面。结合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企业典型创新案例征集及宣讲活动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，制作1套风格突出、内容丰富的宣传视频，全面、详细、生动地总结和展示活动亮点与特色，视频时长5分钟左右。同时，指导区域宣讲活动组织单位对活动征集的短视频进行剪辑制作，形成全国企业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典型创新案例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宣传短视频，内容和技术质量须具备在各类媒体传播条件，并投放于各大权威媒体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和企业创新服务中心公众号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宣传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创新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故事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 w14:paraId="27EF4534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3.对活动开展综合性分析及综述性报道</w:t>
      </w:r>
    </w:p>
    <w:p w14:paraId="26D56D44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活动总结阶段，归纳梳理各活动省份的开展情况并收集有关资料数据，归纳总结挖掘更深层次的宣传内容与宣传重点。联合主流权威媒体，开展活动综述性宣传报道不少于3次。</w:t>
      </w:r>
    </w:p>
    <w:p w14:paraId="27E58460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4.编印活动成果集</w:t>
      </w:r>
    </w:p>
    <w:p w14:paraId="142D9EF0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活动总结阶段，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从全国已评的企业典型创新案例中精心挑选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100个，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编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创新故事集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》，印刷不少于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500份。</w:t>
      </w:r>
    </w:p>
    <w:p w14:paraId="3BB7A3A5">
      <w:pPr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三、质量要求</w:t>
      </w:r>
    </w:p>
    <w:p w14:paraId="0291AD36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1.品牌建设方案设计要突出系统性、可行性、创新性、互动性，宣传形式要新颖、灵活，充分用好用活新媒体。</w:t>
      </w:r>
    </w:p>
    <w:p w14:paraId="7BF8476B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2.制作高水准的宣传材料,宣传海报、宣传册、宣传视频等资料要符合相关行业标准要求，图文结合，内容和技术质量须具备在各类媒体传播条件。</w:t>
      </w:r>
    </w:p>
    <w:p w14:paraId="2579C1F6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按照项目进度安排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，优质高效完成工作任务。</w:t>
      </w:r>
    </w:p>
    <w:p w14:paraId="7BBB9C22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4.服从项目管理，接受项目验收评价。</w:t>
      </w:r>
    </w:p>
    <w:p w14:paraId="4BD6E2FB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5.规范经费支出管理，专账管理、独立核算、专款专用。</w:t>
      </w:r>
    </w:p>
    <w:p w14:paraId="1D5C30EF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6.落实项目申报书中明确的支撑保障条件。</w:t>
      </w:r>
    </w:p>
    <w:p w14:paraId="44599E4A">
      <w:pPr>
        <w:widowControl/>
        <w:spacing w:line="560" w:lineRule="exact"/>
        <w:ind w:firstLine="62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7.各项目成果归中国科协企业创新服务中心所有，如需公开发表或发布成果，须经中国科协企业创新服务中心审核同意。</w:t>
      </w:r>
    </w:p>
    <w:p w14:paraId="40F2A277"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四、申报条件</w:t>
      </w:r>
    </w:p>
    <w:p w14:paraId="6C8F329C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1.申报单位须具有独立法人资格，不接受非法人单位、公益一类事业单位和个人申报。</w:t>
      </w:r>
    </w:p>
    <w:p w14:paraId="50836E58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2.申报单位应熟悉中央财政项目实施管理要求，具有与本项目类似的既往业绩和实施项目的综合能力，内部管理制度健全，财务状况良好。</w:t>
      </w:r>
    </w:p>
    <w:p w14:paraId="35B2548A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3.申报单位能够按时保质保量完成项目工作任务。</w:t>
      </w:r>
    </w:p>
    <w:p w14:paraId="6D0D73D5"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五、服务要求</w:t>
      </w:r>
    </w:p>
    <w:p w14:paraId="6DBD8224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1.充分理解项目任务，制定具体实施方案，配置必要资源条件，安排本单位负责人1名为项目负责人，并配备专业人员组成专项工作团队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，按月汇报工作进度情况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 w14:paraId="20AF1B76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2.建立完善的项目管理机制，多角度进行内部控制，及时响应采购人服务需求，高效执行项目。</w:t>
      </w:r>
    </w:p>
    <w:p w14:paraId="174A1D98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3.规范实施项目，接受采购人项目监督和工作指导，配合项目履约验收工作，按要求提交项目执行报告、工作总结、绩效报告等相关材料。</w:t>
      </w:r>
    </w:p>
    <w:p w14:paraId="5CB85B8C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4.经费支出专账管理、独立核算、专款专用。</w:t>
      </w:r>
    </w:p>
    <w:p w14:paraId="312D570F"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5.不得转包、分包项目工作。</w:t>
      </w:r>
    </w:p>
    <w:p w14:paraId="409FBB34">
      <w:pPr>
        <w:widowControl/>
        <w:spacing w:line="560" w:lineRule="exact"/>
        <w:ind w:firstLine="620" w:firstLineChars="200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六、联系方式</w:t>
      </w:r>
    </w:p>
    <w:p w14:paraId="52684570">
      <w:pPr>
        <w:widowControl/>
        <w:spacing w:line="560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联 系 人：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李老师</w:t>
      </w:r>
    </w:p>
    <w:p w14:paraId="36CF09F1">
      <w:pPr>
        <w:widowControl/>
        <w:spacing w:line="560" w:lineRule="exact"/>
        <w:ind w:firstLine="620" w:firstLineChars="20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联系方式：010-6217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4953</w:t>
      </w:r>
    </w:p>
    <w:p w14:paraId="283EE49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jI3OGJkZjZkODNmNWY0NDFjZTUzZmViZGVmYjUifQ=="/>
  </w:docVars>
  <w:rsids>
    <w:rsidRoot w:val="00000000"/>
    <w:rsid w:val="1045758D"/>
    <w:rsid w:val="11EC39A5"/>
    <w:rsid w:val="175C4DC6"/>
    <w:rsid w:val="28005317"/>
    <w:rsid w:val="3A1C0AAF"/>
    <w:rsid w:val="3AD146E4"/>
    <w:rsid w:val="3EDF4180"/>
    <w:rsid w:val="3F5C4481"/>
    <w:rsid w:val="3F7D5B4C"/>
    <w:rsid w:val="5A782201"/>
    <w:rsid w:val="63D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ind w:left="1200" w:leftChars="1200"/>
    </w:pPr>
  </w:style>
  <w:style w:type="paragraph" w:styleId="3">
    <w:name w:val="Body Text"/>
    <w:basedOn w:val="1"/>
    <w:next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7">
    <w:name w:val="Body Text First Indent 2"/>
    <w:basedOn w:val="4"/>
    <w:next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4146</Words>
  <Characters>4249</Characters>
  <Lines>0</Lines>
  <Paragraphs>0</Paragraphs>
  <TotalTime>6</TotalTime>
  <ScaleCrop>false</ScaleCrop>
  <LinksUpToDate>false</LinksUpToDate>
  <CharactersWithSpaces>4257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2024-05-08T06:06:00Z</dcterms:created>
  <dc:creator>Lenovo</dc:creator>
  <cp:lastModifiedBy>文杰</cp:lastModifiedBy>
  <dcterms:modified xsi:type="dcterms:W3CDTF">2024-06-26T09:17:47Z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3AA6D6BB91004486B18E4747563F87D4_13</vt:lpwstr>
  </property>
</Properties>
</file>