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黑体" w:hAnsi="黑体" w:eastAsia="黑体" w:cs="黑体"/>
          <w:sz w:val="32"/>
          <w:szCs w:val="40"/>
        </w:rPr>
        <w:t>附件</w:t>
      </w:r>
      <w:r>
        <w:rPr>
          <w:rFonts w:ascii="黑体" w:hAnsi="黑体" w:eastAsia="黑体" w:cs="黑体"/>
          <w:sz w:val="32"/>
          <w:szCs w:val="40"/>
        </w:rPr>
        <w:t>1</w:t>
      </w:r>
    </w:p>
    <w:p>
      <w:pPr>
        <w:spacing w:line="64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2023企业创新大家谈新能源专场</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产业问题榜单</w:t>
      </w:r>
      <w:bookmarkEnd w:id="0"/>
    </w:p>
    <w:tbl>
      <w:tblPr>
        <w:tblStyle w:val="2"/>
        <w:tblW w:w="5000" w:type="pct"/>
        <w:tblInd w:w="0" w:type="dxa"/>
        <w:tblLayout w:type="fixed"/>
        <w:tblCellMar>
          <w:top w:w="0" w:type="dxa"/>
          <w:left w:w="108" w:type="dxa"/>
          <w:bottom w:w="0" w:type="dxa"/>
          <w:right w:w="108" w:type="dxa"/>
        </w:tblCellMar>
      </w:tblPr>
      <w:tblGrid>
        <w:gridCol w:w="1015"/>
        <w:gridCol w:w="1284"/>
        <w:gridCol w:w="1336"/>
        <w:gridCol w:w="3494"/>
        <w:gridCol w:w="1393"/>
      </w:tblGrid>
      <w:tr>
        <w:tblPrEx>
          <w:tblCellMar>
            <w:top w:w="0" w:type="dxa"/>
            <w:left w:w="108" w:type="dxa"/>
            <w:bottom w:w="0" w:type="dxa"/>
            <w:right w:w="108" w:type="dxa"/>
          </w:tblCellMar>
        </w:tblPrEx>
        <w:trPr>
          <w:trHeight w:val="480" w:hRule="atLeast"/>
        </w:trPr>
        <w:tc>
          <w:tcPr>
            <w:tcW w:w="595" w:type="pct"/>
            <w:tcBorders>
              <w:top w:val="single" w:color="auto" w:sz="4" w:space="0"/>
              <w:left w:val="single" w:color="auto" w:sz="4" w:space="0"/>
              <w:bottom w:val="single" w:color="auto" w:sz="4" w:space="0"/>
              <w:right w:val="single" w:color="auto" w:sz="4" w:space="0"/>
            </w:tcBorders>
            <w:shd w:val="clear" w:color="000000" w:fill="9BC2E6"/>
            <w:noWrap/>
            <w:vAlign w:val="center"/>
          </w:tcPr>
          <w:p>
            <w:pPr>
              <w:widowControl/>
              <w:jc w:val="center"/>
              <w:rPr>
                <w:rFonts w:ascii="仿宋_GB2312" w:eastAsia="仿宋_GB2312"/>
                <w:sz w:val="24"/>
                <w:szCs w:val="32"/>
              </w:rPr>
            </w:pPr>
            <w:r>
              <w:rPr>
                <w:rFonts w:hint="eastAsia" w:ascii="仿宋_GB2312" w:eastAsia="仿宋_GB2312"/>
                <w:sz w:val="24"/>
                <w:szCs w:val="32"/>
              </w:rPr>
              <w:t>序号</w:t>
            </w:r>
          </w:p>
        </w:tc>
        <w:tc>
          <w:tcPr>
            <w:tcW w:w="753" w:type="pct"/>
            <w:tcBorders>
              <w:top w:val="single" w:color="auto" w:sz="4" w:space="0"/>
              <w:left w:val="nil"/>
              <w:bottom w:val="single" w:color="auto" w:sz="4" w:space="0"/>
              <w:right w:val="single" w:color="auto" w:sz="4" w:space="0"/>
            </w:tcBorders>
            <w:shd w:val="clear" w:color="000000" w:fill="9BC2E6"/>
            <w:noWrap/>
            <w:vAlign w:val="center"/>
          </w:tcPr>
          <w:p>
            <w:pPr>
              <w:widowControl/>
              <w:jc w:val="center"/>
              <w:rPr>
                <w:rFonts w:ascii="仿宋_GB2312" w:eastAsia="仿宋_GB2312"/>
                <w:sz w:val="24"/>
                <w:szCs w:val="32"/>
              </w:rPr>
            </w:pPr>
            <w:r>
              <w:rPr>
                <w:rFonts w:hint="eastAsia" w:ascii="仿宋_GB2312" w:eastAsia="仿宋_GB2312"/>
                <w:sz w:val="24"/>
                <w:szCs w:val="32"/>
              </w:rPr>
              <w:t>产业问题</w:t>
            </w:r>
          </w:p>
        </w:tc>
        <w:tc>
          <w:tcPr>
            <w:tcW w:w="784" w:type="pct"/>
            <w:tcBorders>
              <w:top w:val="single" w:color="auto" w:sz="4" w:space="0"/>
              <w:left w:val="nil"/>
              <w:bottom w:val="single" w:color="auto" w:sz="4" w:space="0"/>
              <w:right w:val="single" w:color="auto" w:sz="4" w:space="0"/>
            </w:tcBorders>
            <w:shd w:val="clear" w:color="000000" w:fill="9BC2E6"/>
            <w:noWrap/>
            <w:vAlign w:val="center"/>
          </w:tcPr>
          <w:p>
            <w:pPr>
              <w:widowControl/>
              <w:jc w:val="center"/>
              <w:rPr>
                <w:rFonts w:ascii="仿宋_GB2312" w:eastAsia="仿宋_GB2312"/>
                <w:sz w:val="24"/>
                <w:szCs w:val="32"/>
              </w:rPr>
            </w:pPr>
            <w:r>
              <w:rPr>
                <w:rFonts w:hint="eastAsia" w:ascii="仿宋_GB2312" w:eastAsia="仿宋_GB2312"/>
                <w:sz w:val="24"/>
                <w:szCs w:val="32"/>
              </w:rPr>
              <w:t>发榜单位</w:t>
            </w:r>
          </w:p>
        </w:tc>
        <w:tc>
          <w:tcPr>
            <w:tcW w:w="2050" w:type="pct"/>
            <w:tcBorders>
              <w:top w:val="single" w:color="auto" w:sz="4" w:space="0"/>
              <w:left w:val="nil"/>
              <w:bottom w:val="single" w:color="auto" w:sz="4" w:space="0"/>
              <w:right w:val="single" w:color="auto" w:sz="4" w:space="0"/>
            </w:tcBorders>
            <w:shd w:val="clear" w:color="000000" w:fill="9BC2E6"/>
            <w:noWrap/>
            <w:vAlign w:val="center"/>
          </w:tcPr>
          <w:p>
            <w:pPr>
              <w:widowControl/>
              <w:jc w:val="center"/>
              <w:rPr>
                <w:rFonts w:ascii="仿宋_GB2312" w:eastAsia="仿宋_GB2312"/>
                <w:sz w:val="24"/>
                <w:szCs w:val="32"/>
              </w:rPr>
            </w:pPr>
            <w:r>
              <w:rPr>
                <w:rFonts w:hint="eastAsia" w:ascii="仿宋_GB2312" w:eastAsia="仿宋_GB2312"/>
                <w:sz w:val="24"/>
                <w:szCs w:val="32"/>
                <w:lang w:val="en-US" w:eastAsia="zh-CN"/>
              </w:rPr>
              <w:t>问题（</w:t>
            </w:r>
            <w:r>
              <w:rPr>
                <w:rFonts w:hint="eastAsia" w:ascii="仿宋_GB2312" w:eastAsia="仿宋_GB2312"/>
                <w:sz w:val="24"/>
                <w:szCs w:val="32"/>
              </w:rPr>
              <w:t>需求</w:t>
            </w:r>
            <w:r>
              <w:rPr>
                <w:rFonts w:hint="eastAsia" w:ascii="仿宋_GB2312" w:eastAsia="仿宋_GB2312"/>
                <w:sz w:val="24"/>
                <w:szCs w:val="32"/>
                <w:lang w:val="en-US" w:eastAsia="zh-CN"/>
              </w:rPr>
              <w:t>）</w:t>
            </w:r>
            <w:r>
              <w:rPr>
                <w:rFonts w:hint="eastAsia" w:ascii="仿宋_GB2312" w:eastAsia="仿宋_GB2312"/>
                <w:sz w:val="24"/>
                <w:szCs w:val="32"/>
              </w:rPr>
              <w:t>描述</w:t>
            </w:r>
          </w:p>
        </w:tc>
        <w:tc>
          <w:tcPr>
            <w:tcW w:w="817" w:type="pct"/>
            <w:tcBorders>
              <w:top w:val="single" w:color="auto" w:sz="4" w:space="0"/>
              <w:left w:val="nil"/>
              <w:bottom w:val="single" w:color="auto" w:sz="4" w:space="0"/>
              <w:right w:val="single" w:color="auto" w:sz="4" w:space="0"/>
            </w:tcBorders>
            <w:shd w:val="clear" w:color="000000" w:fill="9BC2E6"/>
            <w:noWrap/>
            <w:vAlign w:val="center"/>
          </w:tcPr>
          <w:p>
            <w:pPr>
              <w:widowControl/>
              <w:jc w:val="center"/>
              <w:rPr>
                <w:rFonts w:ascii="仿宋_GB2312" w:eastAsia="仿宋_GB2312"/>
                <w:sz w:val="24"/>
                <w:szCs w:val="32"/>
              </w:rPr>
            </w:pPr>
            <w:r>
              <w:rPr>
                <w:rFonts w:hint="eastAsia" w:ascii="仿宋_GB2312" w:eastAsia="仿宋_GB2312"/>
                <w:sz w:val="24"/>
                <w:szCs w:val="32"/>
              </w:rPr>
              <w:t>合作模式</w:t>
            </w:r>
          </w:p>
        </w:tc>
      </w:tr>
      <w:tr>
        <w:tblPrEx>
          <w:tblCellMar>
            <w:top w:w="0" w:type="dxa"/>
            <w:left w:w="108" w:type="dxa"/>
            <w:bottom w:w="0" w:type="dxa"/>
            <w:right w:w="108" w:type="dxa"/>
          </w:tblCellMar>
        </w:tblPrEx>
        <w:trPr>
          <w:trHeight w:val="243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XNY001</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基于航空发动机的气/液态氢燃料的高精度计量与控制</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中国航发四川燃气涡轮研究院</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氢气燃料具有储存温度低、压力高，极易泄露等特点。航空对氢燃料体积密度有较高的要求，液态储存氢是目前常见的解决方案。氢在供给氢发动机过程中，存在液-气相态变化，考虑氢泄露的检测与处置、氢浓度控制等相关问题，需要开发</w:t>
            </w:r>
            <w:r>
              <w:rPr>
                <w:rFonts w:hint="eastAsia" w:ascii="仿宋_GB2312" w:eastAsia="仿宋_GB2312"/>
                <w:sz w:val="24"/>
                <w:szCs w:val="32"/>
                <w:lang w:val="en-US" w:eastAsia="zh-CN"/>
              </w:rPr>
              <w:t>气</w:t>
            </w:r>
            <w:r>
              <w:rPr>
                <w:rFonts w:hint="eastAsia" w:ascii="仿宋_GB2312" w:eastAsia="仿宋_GB2312"/>
                <w:sz w:val="24"/>
                <w:szCs w:val="32"/>
              </w:rPr>
              <w:t>/液态氢燃料流量高精度计量与控制的技术方案并开展试点验证。</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技术研发</w:t>
            </w:r>
          </w:p>
        </w:tc>
      </w:tr>
      <w:tr>
        <w:tblPrEx>
          <w:tblCellMar>
            <w:top w:w="0" w:type="dxa"/>
            <w:left w:w="108" w:type="dxa"/>
            <w:bottom w:w="0" w:type="dxa"/>
            <w:right w:w="108" w:type="dxa"/>
          </w:tblCellMar>
        </w:tblPrEx>
        <w:trPr>
          <w:trHeight w:val="264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XNY002</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多场景应用的大功率氢燃料电池系统开发</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四川荣创新能动力系统有限公司</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加氢站等配套设施建设滞后，氢燃料电池应用场景受到限制；氢燃料电池系统部分零部件依赖进口，氢燃料电池系统价格缺乏竞争力；补贴、地区氢气价格</w:t>
            </w:r>
            <w:r>
              <w:rPr>
                <w:rFonts w:hint="eastAsia" w:ascii="仿宋_GB2312" w:eastAsia="仿宋_GB2312"/>
                <w:sz w:val="24"/>
                <w:szCs w:val="32"/>
                <w:lang w:val="en-US" w:eastAsia="zh-CN"/>
              </w:rPr>
              <w:t>等也</w:t>
            </w:r>
            <w:r>
              <w:rPr>
                <w:rFonts w:hint="eastAsia" w:ascii="仿宋_GB2312" w:eastAsia="仿宋_GB2312"/>
                <w:sz w:val="24"/>
                <w:szCs w:val="32"/>
              </w:rPr>
              <w:t>不</w:t>
            </w:r>
            <w:r>
              <w:rPr>
                <w:rFonts w:hint="eastAsia" w:ascii="仿宋_GB2312" w:eastAsia="仿宋_GB2312"/>
                <w:sz w:val="24"/>
                <w:szCs w:val="32"/>
                <w:lang w:val="en-US" w:eastAsia="zh-CN"/>
              </w:rPr>
              <w:t>统一</w:t>
            </w:r>
            <w:r>
              <w:rPr>
                <w:rFonts w:hint="eastAsia" w:ascii="仿宋_GB2312" w:eastAsia="仿宋_GB2312"/>
                <w:sz w:val="24"/>
                <w:szCs w:val="32"/>
              </w:rPr>
              <w:t>。需要开发面向轨道交通、汽车、发电、应急备用发电等多场景应用的燃料电池系统并开发相关推广场景。</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项目合作</w:t>
            </w:r>
          </w:p>
        </w:tc>
      </w:tr>
      <w:tr>
        <w:tblPrEx>
          <w:tblCellMar>
            <w:top w:w="0" w:type="dxa"/>
            <w:left w:w="108" w:type="dxa"/>
            <w:bottom w:w="0" w:type="dxa"/>
            <w:right w:w="108" w:type="dxa"/>
          </w:tblCellMar>
        </w:tblPrEx>
        <w:trPr>
          <w:trHeight w:val="264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XNY003</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低成本、高性能、小型氢燃料电池系统开发</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四川轻绿科技有限公司</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lang w:val="en-US" w:eastAsia="zh-CN"/>
              </w:rPr>
              <w:t>目前</w:t>
            </w:r>
            <w:r>
              <w:rPr>
                <w:rFonts w:hint="eastAsia" w:ascii="仿宋_GB2312" w:eastAsia="仿宋_GB2312"/>
                <w:sz w:val="24"/>
                <w:szCs w:val="32"/>
              </w:rPr>
              <w:t>氢燃料电池的质子交换膜、催化剂、气体扩散层等核心原材料进口成本较高，自主化产品性能仍需要进一步提升。需要在持续降低成本的基础上开发高性能水平的小型氢燃料电池系统，带动自主化替代并推动市场普及。</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项目合作或技术研发</w:t>
            </w:r>
          </w:p>
        </w:tc>
      </w:tr>
      <w:tr>
        <w:tblPrEx>
          <w:tblCellMar>
            <w:top w:w="0" w:type="dxa"/>
            <w:left w:w="108" w:type="dxa"/>
            <w:bottom w:w="0" w:type="dxa"/>
            <w:right w:w="108" w:type="dxa"/>
          </w:tblCellMar>
        </w:tblPrEx>
        <w:trPr>
          <w:trHeight w:val="235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XNY004</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小型化氢燃料电池用高功率密度膜电极开发</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四川轻绿科技有限公司</w:t>
            </w:r>
          </w:p>
        </w:tc>
        <w:tc>
          <w:tcPr>
            <w:tcW w:w="2050" w:type="pct"/>
            <w:tcBorders>
              <w:top w:val="nil"/>
              <w:left w:val="nil"/>
              <w:bottom w:val="nil"/>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lang w:val="en-US" w:eastAsia="zh-CN"/>
              </w:rPr>
              <w:t>目前</w:t>
            </w:r>
            <w:r>
              <w:rPr>
                <w:rFonts w:hint="eastAsia" w:ascii="仿宋_GB2312" w:eastAsia="仿宋_GB2312"/>
                <w:sz w:val="24"/>
                <w:szCs w:val="32"/>
              </w:rPr>
              <w:t>在小型开放式空冷型、封闭式空冷型和小型封闭式水冷电堆上膜电极的功率密度仅达到400mW/cm</w:t>
            </w:r>
            <w:r>
              <w:rPr>
                <w:rFonts w:ascii="Calibri" w:hAnsi="Calibri" w:eastAsia="仿宋_GB2312" w:cs="Calibri"/>
                <w:sz w:val="24"/>
                <w:szCs w:val="32"/>
              </w:rPr>
              <w:t>²</w:t>
            </w:r>
            <w:r>
              <w:rPr>
                <w:rFonts w:hint="eastAsia" w:ascii="仿宋_GB2312" w:hAnsi="仿宋_GB2312" w:eastAsia="仿宋_GB2312" w:cs="仿宋_GB2312"/>
                <w:sz w:val="24"/>
                <w:szCs w:val="32"/>
              </w:rPr>
              <w:t>左右，需要通过提升质子交换膜性能、催化剂性能、优化双极板流畅设计和增加氧气供应量，开发具备</w:t>
            </w:r>
            <w:r>
              <w:rPr>
                <w:rFonts w:hint="eastAsia" w:ascii="仿宋_GB2312" w:eastAsia="仿宋_GB2312"/>
                <w:sz w:val="24"/>
                <w:szCs w:val="32"/>
              </w:rPr>
              <w:t>500mW/cm</w:t>
            </w:r>
            <w:r>
              <w:rPr>
                <w:rFonts w:ascii="Calibri" w:hAnsi="Calibri" w:eastAsia="仿宋_GB2312" w:cs="Calibri"/>
                <w:sz w:val="24"/>
                <w:szCs w:val="32"/>
              </w:rPr>
              <w:t>²</w:t>
            </w:r>
            <w:r>
              <w:rPr>
                <w:rFonts w:hint="eastAsia" w:ascii="仿宋_GB2312" w:hAnsi="仿宋_GB2312" w:eastAsia="仿宋_GB2312" w:cs="仿宋_GB2312"/>
                <w:sz w:val="24"/>
                <w:szCs w:val="32"/>
              </w:rPr>
              <w:t>以上功率密度的膜电极。</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项目合作</w:t>
            </w:r>
          </w:p>
        </w:tc>
      </w:tr>
      <w:tr>
        <w:tblPrEx>
          <w:tblCellMar>
            <w:top w:w="0" w:type="dxa"/>
            <w:left w:w="108" w:type="dxa"/>
            <w:bottom w:w="0" w:type="dxa"/>
            <w:right w:w="108" w:type="dxa"/>
          </w:tblCellMar>
        </w:tblPrEx>
        <w:trPr>
          <w:trHeight w:val="235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w:t>
            </w:r>
            <w:r>
              <w:rPr>
                <w:rFonts w:ascii="仿宋_GB2312" w:eastAsia="仿宋_GB2312"/>
                <w:sz w:val="24"/>
                <w:szCs w:val="32"/>
              </w:rPr>
              <w:t>5</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小型化氢燃料电池用低成本双极板开发</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四川轻绿科技有限公司</w:t>
            </w:r>
          </w:p>
        </w:tc>
        <w:tc>
          <w:tcPr>
            <w:tcW w:w="2050" w:type="pct"/>
            <w:tcBorders>
              <w:top w:val="nil"/>
              <w:left w:val="nil"/>
              <w:bottom w:val="nil"/>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现阶段石墨型双极板加工成本较高，在小型封闭式水冷电堆的应用上成本占比高达25%，主要是由于机加工能耗高和工时费高，且粘胶成本也相对较高。需要开发柔性石墨和钛合金冲压型复合式双极板，降低双极板成本到整堆成本的10%以内。</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项目合作</w:t>
            </w:r>
          </w:p>
        </w:tc>
      </w:tr>
      <w:tr>
        <w:tblPrEx>
          <w:tblCellMar>
            <w:top w:w="0" w:type="dxa"/>
            <w:left w:w="108" w:type="dxa"/>
            <w:bottom w:w="0" w:type="dxa"/>
            <w:right w:w="108" w:type="dxa"/>
          </w:tblCellMar>
        </w:tblPrEx>
        <w:trPr>
          <w:trHeight w:val="235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w:t>
            </w:r>
            <w:r>
              <w:rPr>
                <w:rFonts w:ascii="仿宋_GB2312" w:eastAsia="仿宋_GB2312"/>
                <w:sz w:val="24"/>
                <w:szCs w:val="32"/>
              </w:rPr>
              <w:t>6</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小型化氢燃料电池的标准立项编制</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四川轻绿科技有限公司</w:t>
            </w:r>
          </w:p>
        </w:tc>
        <w:tc>
          <w:tcPr>
            <w:tcW w:w="2050" w:type="pct"/>
            <w:tcBorders>
              <w:top w:val="nil"/>
              <w:left w:val="nil"/>
              <w:bottom w:val="nil"/>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国家推出了针对大型车用级氢燃料电池的相关标准和规范，针对小型化氢燃料电池的标准缺乏。需要</w:t>
            </w:r>
            <w:r>
              <w:rPr>
                <w:rFonts w:hint="eastAsia" w:ascii="仿宋_GB2312" w:eastAsia="仿宋_GB2312"/>
                <w:sz w:val="24"/>
                <w:szCs w:val="32"/>
                <w:lang w:val="en-US" w:eastAsia="zh-CN"/>
              </w:rPr>
              <w:t>推动</w:t>
            </w:r>
            <w:r>
              <w:rPr>
                <w:rFonts w:hint="eastAsia" w:ascii="仿宋_GB2312" w:eastAsia="仿宋_GB2312"/>
                <w:sz w:val="24"/>
                <w:szCs w:val="32"/>
              </w:rPr>
              <w:t>相关团体、行业</w:t>
            </w:r>
            <w:r>
              <w:rPr>
                <w:rFonts w:hint="eastAsia" w:ascii="仿宋_GB2312" w:eastAsia="仿宋_GB2312"/>
                <w:sz w:val="24"/>
                <w:szCs w:val="32"/>
                <w:lang w:val="en-US" w:eastAsia="zh-CN"/>
              </w:rPr>
              <w:t>等</w:t>
            </w:r>
            <w:r>
              <w:rPr>
                <w:rFonts w:hint="eastAsia" w:ascii="仿宋_GB2312" w:eastAsia="仿宋_GB2312"/>
                <w:sz w:val="24"/>
                <w:szCs w:val="32"/>
              </w:rPr>
              <w:t>标准的立项发布，推动相关领域产品标准化量产和市场应用推广。</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标准立项</w:t>
            </w:r>
          </w:p>
        </w:tc>
      </w:tr>
      <w:tr>
        <w:tblPrEx>
          <w:tblCellMar>
            <w:top w:w="0" w:type="dxa"/>
            <w:left w:w="108" w:type="dxa"/>
            <w:bottom w:w="0" w:type="dxa"/>
            <w:right w:w="108" w:type="dxa"/>
          </w:tblCellMar>
        </w:tblPrEx>
        <w:trPr>
          <w:trHeight w:val="136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w:t>
            </w:r>
            <w:r>
              <w:rPr>
                <w:rFonts w:ascii="仿宋_GB2312" w:eastAsia="仿宋_GB2312"/>
                <w:sz w:val="24"/>
                <w:szCs w:val="32"/>
              </w:rPr>
              <w:t>7</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完善区域制/加氢站等产业基础设施建设布局</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四川轻绿科技有限公司</w:t>
            </w:r>
          </w:p>
        </w:tc>
        <w:tc>
          <w:tcPr>
            <w:tcW w:w="205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配套基础设施的建设布局是氢能产业规模化发展的重要先决基础。需要</w:t>
            </w:r>
            <w:r>
              <w:rPr>
                <w:rFonts w:hint="eastAsia" w:ascii="仿宋_GB2312" w:eastAsia="仿宋_GB2312"/>
                <w:sz w:val="24"/>
                <w:szCs w:val="32"/>
                <w:lang w:val="en-US" w:eastAsia="zh-CN"/>
              </w:rPr>
              <w:t>以试点方式推动</w:t>
            </w:r>
            <w:r>
              <w:rPr>
                <w:rFonts w:hint="eastAsia" w:ascii="仿宋_GB2312" w:eastAsia="仿宋_GB2312"/>
                <w:sz w:val="24"/>
                <w:szCs w:val="32"/>
              </w:rPr>
              <w:t>区域制/加氢站等产业基础设施建设布局，引导完善氢能基础设施的建设工作。</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项目合作</w:t>
            </w:r>
          </w:p>
        </w:tc>
      </w:tr>
      <w:tr>
        <w:tblPrEx>
          <w:tblCellMar>
            <w:top w:w="0" w:type="dxa"/>
            <w:left w:w="108" w:type="dxa"/>
            <w:bottom w:w="0" w:type="dxa"/>
            <w:right w:w="108" w:type="dxa"/>
          </w:tblCellMar>
        </w:tblPrEx>
        <w:trPr>
          <w:trHeight w:val="106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w:t>
            </w:r>
            <w:r>
              <w:rPr>
                <w:rFonts w:ascii="仿宋_GB2312" w:eastAsia="仿宋_GB2312"/>
                <w:sz w:val="24"/>
                <w:szCs w:val="32"/>
              </w:rPr>
              <w:t>8</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低故障率、高功率密度氢燃料电池空压机设计</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b/>
                <w:bCs/>
                <w:sz w:val="24"/>
                <w:szCs w:val="32"/>
              </w:rPr>
            </w:pPr>
            <w:r>
              <w:rPr>
                <w:rFonts w:hint="eastAsia" w:ascii="仿宋_GB2312" w:eastAsia="仿宋_GB2312"/>
                <w:sz w:val="24"/>
                <w:szCs w:val="32"/>
              </w:rPr>
              <w:t>势加透博（成都）科技有限公司</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目前氢燃料电池基本采用离心式空压机，因燃料电池用气</w:t>
            </w:r>
            <w:r>
              <w:rPr>
                <w:rFonts w:hint="eastAsia" w:ascii="仿宋_GB2312" w:eastAsia="仿宋_GB2312"/>
                <w:sz w:val="24"/>
                <w:szCs w:val="32"/>
                <w:lang w:val="en-US" w:eastAsia="zh-CN"/>
              </w:rPr>
              <w:t>要求</w:t>
            </w:r>
            <w:r>
              <w:rPr>
                <w:rFonts w:hint="eastAsia" w:ascii="仿宋_GB2312" w:eastAsia="仿宋_GB2312"/>
                <w:sz w:val="24"/>
                <w:szCs w:val="32"/>
              </w:rPr>
              <w:t>完全无油，需采用气浮轴承技术</w:t>
            </w:r>
            <w:r>
              <w:rPr>
                <w:rFonts w:hint="eastAsia" w:ascii="仿宋_GB2312" w:eastAsia="仿宋_GB2312"/>
                <w:sz w:val="24"/>
                <w:szCs w:val="32"/>
                <w:lang w:eastAsia="zh-CN"/>
              </w:rPr>
              <w:t>。</w:t>
            </w:r>
            <w:r>
              <w:rPr>
                <w:rFonts w:hint="eastAsia" w:ascii="仿宋_GB2312" w:eastAsia="仿宋_GB2312"/>
                <w:sz w:val="24"/>
                <w:szCs w:val="32"/>
              </w:rPr>
              <w:t>对空气洁净度要求较高，不能有固体颗粒物，否则会对轴承造成损伤。需要开展轴承稳定性设计解决故障率问题，突破电控问题解决高功率密度下的热管理问题，以实现低故障率、高功率密度的氢燃料电池空压机。</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技术研发</w:t>
            </w:r>
          </w:p>
        </w:tc>
      </w:tr>
      <w:tr>
        <w:tblPrEx>
          <w:tblCellMar>
            <w:top w:w="0" w:type="dxa"/>
            <w:left w:w="108" w:type="dxa"/>
            <w:bottom w:w="0" w:type="dxa"/>
            <w:right w:w="108" w:type="dxa"/>
          </w:tblCellMar>
        </w:tblPrEx>
        <w:trPr>
          <w:trHeight w:val="173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XNY00</w:t>
            </w:r>
            <w:r>
              <w:rPr>
                <w:rFonts w:ascii="仿宋_GB2312" w:eastAsia="仿宋_GB2312"/>
                <w:sz w:val="24"/>
                <w:szCs w:val="32"/>
              </w:rPr>
              <w:t>9</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支撑高功率电堆设计优化的流量分配分析手段研究</w:t>
            </w:r>
          </w:p>
        </w:tc>
        <w:tc>
          <w:tcPr>
            <w:tcW w:w="784"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sz w:val="24"/>
                <w:szCs w:val="32"/>
              </w:rPr>
            </w:pPr>
            <w:r>
              <w:rPr>
                <w:rFonts w:hint="eastAsia" w:ascii="仿宋_GB2312" w:eastAsia="仿宋_GB2312"/>
                <w:sz w:val="24"/>
                <w:szCs w:val="32"/>
              </w:rPr>
              <w:t>某氢能公司</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目前行业内</w:t>
            </w:r>
            <w:r>
              <w:rPr>
                <w:rFonts w:ascii="仿宋_GB2312" w:eastAsia="仿宋_GB2312"/>
                <w:sz w:val="24"/>
                <w:szCs w:val="32"/>
              </w:rPr>
              <w:t>110kW功率等级燃料电池系统可基本覆盖客车、环卫、运输车等应用场景，而对重型卡车领域，整车实际需求功率达200-300kW，对电堆功率的要求更高。</w:t>
            </w:r>
          </w:p>
          <w:p>
            <w:pPr>
              <w:widowControl/>
              <w:ind w:firstLine="480" w:firstLineChars="200"/>
              <w:jc w:val="left"/>
              <w:rPr>
                <w:rFonts w:ascii="仿宋_GB2312" w:eastAsia="仿宋_GB2312"/>
                <w:sz w:val="24"/>
                <w:szCs w:val="32"/>
              </w:rPr>
            </w:pPr>
            <w:r>
              <w:rPr>
                <w:rFonts w:hint="eastAsia" w:ascii="仿宋_GB2312" w:eastAsia="仿宋_GB2312"/>
                <w:sz w:val="24"/>
                <w:szCs w:val="32"/>
              </w:rPr>
              <w:t>随着电堆功率的提高使得节数及运行电密增加，电堆内的速度梯度大、尺寸差异大、多物理场协同的特性使得电堆内的流量分配控制难度加大，对于由单池串联形成的电池堆而言，热质分布均一性显著恶化将导致部分位置的电池性能显著降低，最终直接导致整堆的寿命终止。需要</w:t>
            </w:r>
            <w:r>
              <w:rPr>
                <w:rFonts w:hint="eastAsia" w:ascii="仿宋_GB2312" w:eastAsia="仿宋_GB2312"/>
                <w:sz w:val="24"/>
                <w:szCs w:val="32"/>
                <w:lang w:val="en-US" w:eastAsia="zh-CN"/>
              </w:rPr>
              <w:t>对</w:t>
            </w:r>
            <w:r>
              <w:rPr>
                <w:rFonts w:hint="eastAsia" w:ascii="仿宋_GB2312" w:eastAsia="仿宋_GB2312"/>
                <w:sz w:val="24"/>
                <w:szCs w:val="32"/>
              </w:rPr>
              <w:t>燃料电池电堆内部流动分配特征的测试分析方法</w:t>
            </w:r>
            <w:r>
              <w:rPr>
                <w:rFonts w:hint="eastAsia" w:ascii="仿宋_GB2312" w:eastAsia="仿宋_GB2312"/>
                <w:sz w:val="24"/>
                <w:szCs w:val="32"/>
                <w:lang w:val="en-US" w:eastAsia="zh-CN"/>
              </w:rPr>
              <w:t>开展研究</w:t>
            </w:r>
            <w:r>
              <w:rPr>
                <w:rFonts w:hint="eastAsia" w:ascii="仿宋_GB2312" w:eastAsia="仿宋_GB2312"/>
                <w:sz w:val="24"/>
                <w:szCs w:val="32"/>
              </w:rPr>
              <w:t>。</w:t>
            </w:r>
          </w:p>
        </w:tc>
        <w:tc>
          <w:tcPr>
            <w:tcW w:w="81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技术研发或项目合作</w:t>
            </w:r>
          </w:p>
        </w:tc>
      </w:tr>
      <w:tr>
        <w:tblPrEx>
          <w:tblCellMar>
            <w:top w:w="0" w:type="dxa"/>
            <w:left w:w="108" w:type="dxa"/>
            <w:bottom w:w="0" w:type="dxa"/>
            <w:right w:w="108" w:type="dxa"/>
          </w:tblCellMar>
        </w:tblPrEx>
        <w:trPr>
          <w:trHeight w:val="397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w:t>
            </w:r>
            <w:r>
              <w:rPr>
                <w:rFonts w:ascii="仿宋_GB2312" w:eastAsia="仿宋_GB2312"/>
                <w:sz w:val="24"/>
                <w:szCs w:val="32"/>
              </w:rPr>
              <w:t>10</w:t>
            </w:r>
          </w:p>
        </w:tc>
        <w:tc>
          <w:tcPr>
            <w:tcW w:w="753"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基于长续航里程的无人机燃料电池动力系统设计开发</w:t>
            </w:r>
          </w:p>
        </w:tc>
        <w:tc>
          <w:tcPr>
            <w:tcW w:w="784"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某氢能公司</w:t>
            </w:r>
          </w:p>
        </w:tc>
        <w:tc>
          <w:tcPr>
            <w:tcW w:w="2050"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szCs w:val="32"/>
              </w:rPr>
            </w:pPr>
            <w:r>
              <w:rPr>
                <w:rFonts w:hint="eastAsia" w:ascii="仿宋_GB2312" w:eastAsia="仿宋_GB2312"/>
                <w:sz w:val="24"/>
                <w:szCs w:val="32"/>
              </w:rPr>
              <w:t>无人机在输电线路与风/光伏电厂巡检、物流、勘探、应急等领域的应用越来越广泛，目前无人机用的动力系统以锂离子电池为主，其功率密度低，单次续航时长约15~55分钟，大大限制了各场景的应用。而目前燃料电池系统的开发多以大中型车辆为主，不适用于无人机，亟需开展专用于无人机的长续航里程燃料电池动力系统开发和供应链建设。</w:t>
            </w:r>
          </w:p>
        </w:tc>
        <w:tc>
          <w:tcPr>
            <w:tcW w:w="817"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技术研发或项目合作</w:t>
            </w:r>
          </w:p>
        </w:tc>
      </w:tr>
      <w:tr>
        <w:tblPrEx>
          <w:tblCellMar>
            <w:top w:w="0" w:type="dxa"/>
            <w:left w:w="108" w:type="dxa"/>
            <w:bottom w:w="0" w:type="dxa"/>
            <w:right w:w="108" w:type="dxa"/>
          </w:tblCellMar>
        </w:tblPrEx>
        <w:trPr>
          <w:trHeight w:val="6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XNY011</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5</w:t>
            </w:r>
            <w:r>
              <w:rPr>
                <w:rFonts w:ascii="仿宋_GB2312" w:eastAsia="仿宋_GB2312"/>
                <w:sz w:val="24"/>
                <w:szCs w:val="32"/>
              </w:rPr>
              <w:t>0MP</w:t>
            </w:r>
            <w:r>
              <w:rPr>
                <w:rFonts w:hint="eastAsia" w:ascii="仿宋_GB2312" w:eastAsia="仿宋_GB2312"/>
                <w:sz w:val="24"/>
                <w:szCs w:val="32"/>
              </w:rPr>
              <w:t>a高压气态输运标准研制</w:t>
            </w:r>
          </w:p>
        </w:tc>
        <w:tc>
          <w:tcPr>
            <w:tcW w:w="784"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北京亿华通科技股份有限公司</w:t>
            </w:r>
          </w:p>
        </w:tc>
        <w:tc>
          <w:tcPr>
            <w:tcW w:w="2050" w:type="pct"/>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eastAsia="仿宋_GB2312"/>
                <w:sz w:val="24"/>
              </w:rPr>
            </w:pPr>
            <w:r>
              <w:rPr>
                <w:rFonts w:hint="eastAsia" w:eastAsia="仿宋_GB2312"/>
                <w:sz w:val="24"/>
              </w:rPr>
              <w:t>运氢成本占到了整个用氢成本的2</w:t>
            </w:r>
            <w:r>
              <w:rPr>
                <w:rFonts w:eastAsia="仿宋_GB2312"/>
                <w:sz w:val="24"/>
              </w:rPr>
              <w:t>0</w:t>
            </w:r>
            <w:r>
              <w:rPr>
                <w:rFonts w:hint="eastAsia" w:eastAsia="仿宋_GB2312"/>
                <w:sz w:val="24"/>
              </w:rPr>
              <w:t>%左右。受到标准的限制，目前氢气运输以2</w:t>
            </w:r>
            <w:r>
              <w:rPr>
                <w:rFonts w:eastAsia="仿宋_GB2312"/>
                <w:sz w:val="24"/>
              </w:rPr>
              <w:t>0MP</w:t>
            </w:r>
            <w:r>
              <w:rPr>
                <w:rFonts w:hint="eastAsia" w:eastAsia="仿宋_GB2312"/>
                <w:sz w:val="24"/>
              </w:rPr>
              <w:t>a长管拖车为主，单车实际氢气运输量为2</w:t>
            </w:r>
            <w:r>
              <w:rPr>
                <w:rFonts w:eastAsia="仿宋_GB2312"/>
                <w:sz w:val="24"/>
              </w:rPr>
              <w:t>50</w:t>
            </w:r>
            <w:r>
              <w:rPr>
                <w:rFonts w:hint="eastAsia" w:eastAsia="仿宋_GB2312"/>
                <w:sz w:val="24"/>
              </w:rPr>
              <w:t>kg左右，短距离运输成本约1</w:t>
            </w:r>
            <w:r>
              <w:rPr>
                <w:rFonts w:eastAsia="仿宋_GB2312"/>
                <w:sz w:val="24"/>
              </w:rPr>
              <w:t>0</w:t>
            </w:r>
            <w:r>
              <w:rPr>
                <w:rFonts w:hint="eastAsia" w:eastAsia="仿宋_GB2312"/>
                <w:sz w:val="24"/>
              </w:rPr>
              <w:t>元/kg，而国外长管拖车运输压力</w:t>
            </w:r>
            <w:r>
              <w:rPr>
                <w:rFonts w:hint="eastAsia" w:eastAsia="仿宋_GB2312"/>
                <w:sz w:val="24"/>
                <w:lang w:val="en-US" w:eastAsia="zh-CN"/>
              </w:rPr>
              <w:t>有的已达</w:t>
            </w:r>
            <w:r>
              <w:rPr>
                <w:rFonts w:hint="eastAsia" w:eastAsia="仿宋_GB2312"/>
                <w:sz w:val="24"/>
              </w:rPr>
              <w:t>5</w:t>
            </w:r>
            <w:r>
              <w:rPr>
                <w:rFonts w:eastAsia="仿宋_GB2312"/>
                <w:sz w:val="24"/>
              </w:rPr>
              <w:t>2MP</w:t>
            </w:r>
            <w:r>
              <w:rPr>
                <w:rFonts w:hint="eastAsia" w:eastAsia="仿宋_GB2312"/>
                <w:sz w:val="24"/>
              </w:rPr>
              <w:t>a左右，运输成本比2</w:t>
            </w:r>
            <w:r>
              <w:rPr>
                <w:rFonts w:eastAsia="仿宋_GB2312"/>
                <w:sz w:val="24"/>
              </w:rPr>
              <w:t>0MP</w:t>
            </w:r>
            <w:r>
              <w:rPr>
                <w:rFonts w:hint="eastAsia" w:eastAsia="仿宋_GB2312"/>
                <w:sz w:val="24"/>
              </w:rPr>
              <w:t>a拖车低约一半。为了降低终端用氢成本，急需要</w:t>
            </w:r>
            <w:r>
              <w:rPr>
                <w:rFonts w:hint="eastAsia" w:eastAsia="仿宋_GB2312"/>
                <w:sz w:val="24"/>
                <w:lang w:val="en-US" w:eastAsia="zh-CN"/>
              </w:rPr>
              <w:t>研究</w:t>
            </w:r>
            <w:r>
              <w:rPr>
                <w:rFonts w:hint="eastAsia" w:eastAsia="仿宋_GB2312"/>
                <w:sz w:val="24"/>
              </w:rPr>
              <w:t>制定更高压力长管拖车氢气运输标准。</w:t>
            </w:r>
          </w:p>
        </w:tc>
        <w:tc>
          <w:tcPr>
            <w:tcW w:w="817"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eastAsia="仿宋_GB2312"/>
                <w:sz w:val="24"/>
                <w:szCs w:val="32"/>
              </w:rPr>
            </w:pPr>
            <w:r>
              <w:rPr>
                <w:rFonts w:hint="eastAsia" w:ascii="仿宋_GB2312" w:eastAsia="仿宋_GB2312"/>
                <w:sz w:val="24"/>
                <w:szCs w:val="32"/>
              </w:rPr>
              <w:t>标准立项</w:t>
            </w:r>
          </w:p>
        </w:tc>
      </w:tr>
      <w:tr>
        <w:tblPrEx>
          <w:tblCellMar>
            <w:top w:w="0" w:type="dxa"/>
            <w:left w:w="108" w:type="dxa"/>
            <w:bottom w:w="0" w:type="dxa"/>
            <w:right w:w="108" w:type="dxa"/>
          </w:tblCellMar>
        </w:tblPrEx>
        <w:trPr>
          <w:trHeight w:val="6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XNY012</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氢能车辆跨区域营运限制突破</w:t>
            </w:r>
          </w:p>
        </w:tc>
        <w:tc>
          <w:tcPr>
            <w:tcW w:w="784"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北京亿华通科技股份有限公司</w:t>
            </w:r>
          </w:p>
        </w:tc>
        <w:tc>
          <w:tcPr>
            <w:tcW w:w="2050"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目前氢能汽车主要以燃料电池城市群为主进行推广，每个城市群独立进行购置和运营补贴，存在车辆在不同区域加氢存在氢价不同的现象，同时不同区域对不同地域车辆存在路权不一致的现象，限制了跨区域氢能车辆推广应用，建议扩大氢能汽车示范应用范围，建立跨区域合作机制和制度，促进氢能车辆的大规模使用。</w:t>
            </w:r>
          </w:p>
        </w:tc>
        <w:tc>
          <w:tcPr>
            <w:tcW w:w="817"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eastAsia="仿宋_GB2312"/>
                <w:sz w:val="24"/>
                <w:szCs w:val="32"/>
              </w:rPr>
            </w:pPr>
            <w:r>
              <w:rPr>
                <w:rFonts w:hint="eastAsia" w:ascii="仿宋_GB2312" w:eastAsia="仿宋_GB2312"/>
                <w:sz w:val="24"/>
                <w:szCs w:val="32"/>
              </w:rPr>
              <w:t>区域合作或政策支持</w:t>
            </w:r>
          </w:p>
        </w:tc>
      </w:tr>
      <w:tr>
        <w:tblPrEx>
          <w:tblCellMar>
            <w:top w:w="0" w:type="dxa"/>
            <w:left w:w="108" w:type="dxa"/>
            <w:bottom w:w="0" w:type="dxa"/>
            <w:right w:w="108" w:type="dxa"/>
          </w:tblCellMar>
        </w:tblPrEx>
        <w:trPr>
          <w:trHeight w:val="6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XNY01</w:t>
            </w:r>
            <w:r>
              <w:rPr>
                <w:rFonts w:ascii="仿宋_GB2312" w:eastAsia="仿宋_GB2312"/>
                <w:sz w:val="24"/>
                <w:szCs w:val="32"/>
              </w:rPr>
              <w:t>3</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固态储氢瓶氢气余量检测与评估方法研究</w:t>
            </w:r>
          </w:p>
        </w:tc>
        <w:tc>
          <w:tcPr>
            <w:tcW w:w="784"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有研工程技术研究院有限公司</w:t>
            </w:r>
          </w:p>
        </w:tc>
        <w:tc>
          <w:tcPr>
            <w:tcW w:w="2050"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固态储氢是最重要的氢气储存方式之一，其安全性高，储运性价比高，在两轮车、储能领域已开展示范应用。由于固态储氢氢气以金属氢化物的形式存在，充放氢过程中储氢瓶中氢气余量无法精确检测，这将限制固态储氢的规模化使用，因此亟需研究固态储氢瓶中氢气余量的评估和检测方法。</w:t>
            </w:r>
          </w:p>
        </w:tc>
        <w:tc>
          <w:tcPr>
            <w:tcW w:w="817"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eastAsia="仿宋_GB2312"/>
                <w:sz w:val="24"/>
                <w:szCs w:val="32"/>
              </w:rPr>
            </w:pPr>
            <w:r>
              <w:rPr>
                <w:rFonts w:hint="eastAsia" w:ascii="仿宋_GB2312" w:eastAsia="仿宋_GB2312"/>
                <w:sz w:val="24"/>
                <w:szCs w:val="32"/>
              </w:rPr>
              <w:t>技术研发</w:t>
            </w:r>
          </w:p>
        </w:tc>
      </w:tr>
      <w:tr>
        <w:tblPrEx>
          <w:tblCellMar>
            <w:top w:w="0" w:type="dxa"/>
            <w:left w:w="108" w:type="dxa"/>
            <w:bottom w:w="0" w:type="dxa"/>
            <w:right w:w="108" w:type="dxa"/>
          </w:tblCellMar>
        </w:tblPrEx>
        <w:trPr>
          <w:trHeight w:val="91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XNY01</w:t>
            </w:r>
            <w:r>
              <w:rPr>
                <w:rFonts w:ascii="仿宋_GB2312" w:eastAsia="仿宋_GB2312"/>
                <w:sz w:val="24"/>
                <w:szCs w:val="32"/>
              </w:rPr>
              <w:t>4</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90Mpa氢气压缩机及核心部件设计与开发</w:t>
            </w:r>
          </w:p>
        </w:tc>
        <w:tc>
          <w:tcPr>
            <w:tcW w:w="784"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北京海德利森科技有限公司</w:t>
            </w:r>
          </w:p>
        </w:tc>
        <w:tc>
          <w:tcPr>
            <w:tcW w:w="2050"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我国建设的加氢站压缩机大多为35Mpa级， 70Mpa加氢站很少，7</w:t>
            </w:r>
            <w:r>
              <w:rPr>
                <w:rFonts w:ascii="仿宋_GB2312" w:eastAsia="仿宋_GB2312"/>
                <w:sz w:val="24"/>
                <w:szCs w:val="32"/>
              </w:rPr>
              <w:t>0MP</w:t>
            </w:r>
            <w:r>
              <w:rPr>
                <w:rFonts w:hint="eastAsia" w:ascii="仿宋_GB2312" w:eastAsia="仿宋_GB2312"/>
                <w:sz w:val="24"/>
                <w:szCs w:val="32"/>
              </w:rPr>
              <w:t>a加氢站需要使用90Mpa氢气压缩机，该类压缩机及核心部件严重依赖进口，自主化产品尚未实现批量应用且部件寿命与可靠性缺乏试验验证。需要加大研发投入及长时间的试验验证。</w:t>
            </w:r>
          </w:p>
        </w:tc>
        <w:tc>
          <w:tcPr>
            <w:tcW w:w="817"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eastAsia="仿宋_GB2312"/>
                <w:sz w:val="24"/>
                <w:szCs w:val="32"/>
              </w:rPr>
            </w:pPr>
            <w:r>
              <w:rPr>
                <w:rFonts w:hint="eastAsia" w:ascii="仿宋_GB2312" w:eastAsia="仿宋_GB2312"/>
                <w:sz w:val="24"/>
                <w:szCs w:val="32"/>
              </w:rPr>
              <w:t>技术研发</w:t>
            </w:r>
          </w:p>
        </w:tc>
      </w:tr>
      <w:tr>
        <w:tblPrEx>
          <w:tblCellMar>
            <w:top w:w="0" w:type="dxa"/>
            <w:left w:w="108" w:type="dxa"/>
            <w:bottom w:w="0" w:type="dxa"/>
            <w:right w:w="108" w:type="dxa"/>
          </w:tblCellMar>
        </w:tblPrEx>
        <w:trPr>
          <w:trHeight w:val="6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XNY01</w:t>
            </w:r>
            <w:r>
              <w:rPr>
                <w:rFonts w:ascii="仿宋_GB2312" w:eastAsia="仿宋_GB2312"/>
                <w:sz w:val="24"/>
                <w:szCs w:val="32"/>
              </w:rPr>
              <w:t>5</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磷酸型聚合物膜燃料电池相关标准缺乏</w:t>
            </w:r>
          </w:p>
        </w:tc>
        <w:tc>
          <w:tcPr>
            <w:tcW w:w="784"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北京海得利兹新技术有限公司</w:t>
            </w:r>
          </w:p>
        </w:tc>
        <w:tc>
          <w:tcPr>
            <w:tcW w:w="2050"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磷酸型聚合物膜燃料电池工作温度高，与质子交换膜燃料电池相比，效率高，催化剂C</w:t>
            </w:r>
            <w:r>
              <w:rPr>
                <w:rFonts w:ascii="仿宋_GB2312" w:eastAsia="仿宋_GB2312"/>
                <w:sz w:val="24"/>
                <w:szCs w:val="32"/>
              </w:rPr>
              <w:t>O</w:t>
            </w:r>
            <w:r>
              <w:rPr>
                <w:rFonts w:hint="eastAsia" w:ascii="仿宋_GB2312" w:eastAsia="仿宋_GB2312"/>
                <w:sz w:val="24"/>
                <w:szCs w:val="32"/>
              </w:rPr>
              <w:t>耐受度高，具有广阔的应用前景。然而目前的标准多建立在质子交换膜燃料电池上，不适用于磷酸型聚合物膜燃料电池，</w:t>
            </w:r>
            <w:r>
              <w:rPr>
                <w:rFonts w:hint="eastAsia" w:ascii="仿宋_GB2312" w:eastAsia="仿宋_GB2312"/>
                <w:sz w:val="24"/>
                <w:szCs w:val="32"/>
                <w:lang w:val="en-US" w:eastAsia="zh-CN"/>
              </w:rPr>
              <w:t>需要研究</w:t>
            </w:r>
            <w:r>
              <w:rPr>
                <w:rFonts w:hint="eastAsia" w:ascii="仿宋_GB2312" w:eastAsia="仿宋_GB2312"/>
                <w:sz w:val="24"/>
                <w:szCs w:val="32"/>
              </w:rPr>
              <w:t>制订磷酸型聚合物膜燃料电池相关标准，推动该类型燃料电池的商业化应用。</w:t>
            </w:r>
          </w:p>
        </w:tc>
        <w:tc>
          <w:tcPr>
            <w:tcW w:w="817"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eastAsia="仿宋_GB2312"/>
                <w:sz w:val="24"/>
                <w:szCs w:val="32"/>
              </w:rPr>
            </w:pPr>
            <w:r>
              <w:rPr>
                <w:rFonts w:hint="eastAsia" w:ascii="仿宋_GB2312" w:eastAsia="仿宋_GB2312"/>
                <w:sz w:val="24"/>
                <w:szCs w:val="32"/>
              </w:rPr>
              <w:t>标准立项</w:t>
            </w:r>
          </w:p>
        </w:tc>
      </w:tr>
      <w:tr>
        <w:tblPrEx>
          <w:tblCellMar>
            <w:top w:w="0" w:type="dxa"/>
            <w:left w:w="108" w:type="dxa"/>
            <w:bottom w:w="0" w:type="dxa"/>
            <w:right w:w="108" w:type="dxa"/>
          </w:tblCellMar>
        </w:tblPrEx>
        <w:trPr>
          <w:trHeight w:val="6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4"/>
                <w:szCs w:val="32"/>
              </w:rPr>
            </w:pPr>
            <w:r>
              <w:rPr>
                <w:rFonts w:hint="eastAsia" w:ascii="仿宋_GB2312" w:eastAsia="仿宋_GB2312"/>
                <w:sz w:val="24"/>
                <w:szCs w:val="32"/>
              </w:rPr>
              <w:t>XNY01</w:t>
            </w:r>
            <w:r>
              <w:rPr>
                <w:rFonts w:ascii="仿宋_GB2312" w:eastAsia="仿宋_GB2312"/>
                <w:sz w:val="24"/>
                <w:szCs w:val="32"/>
              </w:rPr>
              <w:t>6</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szCs w:val="32"/>
              </w:rPr>
            </w:pPr>
            <w:r>
              <w:rPr>
                <w:rFonts w:hint="eastAsia" w:ascii="仿宋_GB2312" w:eastAsia="仿宋_GB2312"/>
                <w:sz w:val="24"/>
                <w:szCs w:val="32"/>
              </w:rPr>
              <w:t>氢能产业链上下游企业合作机制完善</w:t>
            </w:r>
          </w:p>
        </w:tc>
        <w:tc>
          <w:tcPr>
            <w:tcW w:w="784"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江苏氢导智能装备有限公司</w:t>
            </w:r>
          </w:p>
        </w:tc>
        <w:tc>
          <w:tcPr>
            <w:tcW w:w="2050" w:type="pct"/>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sz w:val="24"/>
                <w:szCs w:val="32"/>
              </w:rPr>
            </w:pPr>
            <w:r>
              <w:rPr>
                <w:rFonts w:hint="eastAsia" w:ascii="仿宋_GB2312" w:eastAsia="仿宋_GB2312"/>
                <w:sz w:val="24"/>
                <w:szCs w:val="32"/>
              </w:rPr>
              <w:t>氢能产业链长，涉及的范围广，包括可再生能源电力、电解槽、燃料电池及用能终端等，要达到整个系统的高效率和高性价比，需要各个环节协同，如可再生电力与电解槽的系统优化，电解槽与燃料电池的系统优化，但是目前产业链各个环节协同开发较少，</w:t>
            </w:r>
            <w:r>
              <w:rPr>
                <w:rFonts w:hint="eastAsia" w:ascii="仿宋_GB2312" w:eastAsia="仿宋_GB2312"/>
                <w:sz w:val="24"/>
                <w:szCs w:val="32"/>
                <w:lang w:val="en-US" w:eastAsia="zh-CN"/>
              </w:rPr>
              <w:t>需要构建</w:t>
            </w:r>
            <w:r>
              <w:rPr>
                <w:rFonts w:hint="eastAsia" w:ascii="仿宋_GB2312" w:eastAsia="仿宋_GB2312"/>
                <w:sz w:val="24"/>
                <w:szCs w:val="32"/>
              </w:rPr>
              <w:t>良好机制引导产业链上下游企业展开联合开发。</w:t>
            </w:r>
          </w:p>
        </w:tc>
        <w:tc>
          <w:tcPr>
            <w:tcW w:w="817"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eastAsia="仿宋_GB2312"/>
                <w:sz w:val="24"/>
                <w:szCs w:val="32"/>
              </w:rPr>
            </w:pPr>
            <w:r>
              <w:rPr>
                <w:rFonts w:hint="eastAsia" w:ascii="仿宋_GB2312" w:eastAsia="仿宋_GB2312"/>
                <w:sz w:val="24"/>
                <w:szCs w:val="32"/>
              </w:rPr>
              <w:t>项目合作</w:t>
            </w:r>
          </w:p>
        </w:tc>
      </w:tr>
    </w:tbl>
    <w:p>
      <w:pPr>
        <w:jc w:val="left"/>
        <w:rPr>
          <w:rFonts w:hint="eastAsia" w:ascii="仿宋_GB2312" w:eastAsia="仿宋_GB2312"/>
          <w:sz w:val="32"/>
          <w:szCs w:val="32"/>
        </w:rPr>
      </w:pPr>
    </w:p>
    <w:p>
      <w:pPr>
        <w:rPr>
          <w:rFonts w:hint="eastAsia" w:ascii="黑体" w:hAnsi="黑体" w:eastAsia="黑体" w:cs="黑体"/>
          <w:sz w:val="32"/>
          <w:szCs w:val="40"/>
        </w:rPr>
      </w:pPr>
    </w:p>
    <w:p>
      <w:pPr>
        <w:rPr>
          <w:rFonts w:hint="eastAsia" w:ascii="黑体" w:hAnsi="黑体" w:eastAsia="黑体" w:cs="黑体"/>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ZmFiNDcxMjE1N2E4MTM0MjFlYjk5YzI1ODU4YzEifQ=="/>
  </w:docVars>
  <w:rsids>
    <w:rsidRoot w:val="5D78654C"/>
    <w:rsid w:val="5D78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2023-10-16T08:33:00Z</dcterms:created>
  <dc:creator>wtq</dc:creator>
  <cp:lastModifiedBy>wtq</cp:lastModifiedBy>
  <dcterms:modified xsi:type="dcterms:W3CDTF">2023-10-16T08:34:02Z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8099603C77A64EC397C914A41DAD7738_11</vt:lpwstr>
  </property>
</Properties>
</file>